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TIP Protocol Whitepaper, Version 1.0</w:t>
      </w:r>
    </w:p>
    <w:p>
      <w:pPr>
        <w:pStyle w:val="Subtitle"/>
      </w:pPr>
      <w:r>
        <w:t xml:space="preserve">Trust Identity Protocol for the Verifiable Internet</w:t>
      </w:r>
    </w:p>
    <w:p>
      <w:pPr>
        <w:pStyle w:val="Author"/>
      </w:pPr>
      <w:r>
        <w:t xml:space="preserve">The AI Lab Intelligence Unobscured, Inc.</w:t>
      </w:r>
    </w:p>
    <w:p>
      <w:pPr>
        <w:pStyle w:val="Author"/>
      </w:pPr>
      <w:r>
        <w:t xml:space="preserve">theailab.org</w:t>
      </w:r>
    </w:p>
    <w:p>
      <w:pPr>
        <w:pStyle w:val="Date"/>
      </w:pPr>
      <w:r>
        <w:t xml:space="preserve">June 16, 2026</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9" w:name="suggested-citation"/>
    <w:p>
      <w:pPr>
        <w:pStyle w:val="Heading1"/>
      </w:pPr>
      <w:r>
        <w:t xml:space="preserve">Suggested Citation</w:t>
      </w:r>
    </w:p>
    <w:p>
      <w:pPr>
        <w:pStyle w:val="FirstParagraph"/>
      </w:pPr>
      <w:r>
        <w:t xml:space="preserve">Mendhe, D. (2026).</w:t>
      </w:r>
      <w:r>
        <w:t xml:space="preserve"> </w:t>
      </w:r>
      <w:r>
        <w:rPr>
          <w:i/>
          <w:iCs/>
        </w:rPr>
        <w:t xml:space="preserve">TIP Protocol Whitepaper, Version 1.0: Trust</w:t>
      </w:r>
      <w:r>
        <w:rPr>
          <w:i/>
          <w:iCs/>
        </w:rPr>
        <w:t xml:space="preserve"> </w:t>
      </w:r>
      <w:r>
        <w:rPr>
          <w:i/>
          <w:iCs/>
        </w:rPr>
        <w:t xml:space="preserve">Identity Protocol for the Verifiable Internet</w:t>
      </w:r>
      <w:r>
        <w:t xml:space="preserve">. The AI Lab</w:t>
      </w:r>
      <w:r>
        <w:t xml:space="preserve"> </w:t>
      </w:r>
      <w:r>
        <w:t xml:space="preserve">Intelligence Unobscured, Inc. Wilmington, Delaware. USCO Application</w:t>
      </w:r>
      <w:r>
        <w:t xml:space="preserve"> </w:t>
      </w:r>
      <w:r>
        <w:t xml:space="preserve">No. 1-15175755931. Available at https://theailab.org/whitepaper.</w:t>
      </w:r>
    </w:p>
    <w:p>
      <w:pPr>
        <w:pStyle w:val="BodyText"/>
      </w:pPr>
      <w:r>
        <w:rPr>
          <w:b/>
          <w:bCs/>
        </w:rPr>
        <w:t xml:space="preserve">IEEE:</w:t>
      </w:r>
      <w:r>
        <w:t xml:space="preserve"> </w:t>
      </w:r>
      <w:r>
        <w:t xml:space="preserve">D. Mendhe, “TIP Protocol Whitepaper, Version</w:t>
      </w:r>
      <w:r>
        <w:t xml:space="preserve"> </w:t>
      </w:r>
      <w:r>
        <w:t xml:space="preserve">1.0,” The AI Lab Intelligence Unobscured, Inc., Wilmington, DE,</w:t>
      </w:r>
      <w:r>
        <w:t xml:space="preserve"> </w:t>
      </w:r>
      <w:r>
        <w:t xml:space="preserve">2026.</w:t>
      </w:r>
    </w:p>
    <w:p>
      <w:pPr>
        <w:pStyle w:val="BodyText"/>
      </w:pPr>
      <w:r>
        <w:rPr>
          <w:b/>
          <w:bCs/>
        </w:rPr>
        <w:t xml:space="preserve">ACM:</w:t>
      </w:r>
      <w:r>
        <w:t xml:space="preserve"> </w:t>
      </w:r>
      <w:r>
        <w:t xml:space="preserve">Dinesh Mendhe. 2026.</w:t>
      </w:r>
      <w:r>
        <w:t xml:space="preserve"> </w:t>
      </w:r>
      <w:r>
        <w:rPr>
          <w:i/>
          <w:iCs/>
        </w:rPr>
        <w:t xml:space="preserve">TIP Protocol</w:t>
      </w:r>
      <w:r>
        <w:rPr>
          <w:i/>
          <w:iCs/>
        </w:rPr>
        <w:t xml:space="preserve"> </w:t>
      </w:r>
      <w:r>
        <w:rPr>
          <w:i/>
          <w:iCs/>
        </w:rPr>
        <w:t xml:space="preserve">Whitepaper, Version 1.0</w:t>
      </w:r>
      <w:r>
        <w:t xml:space="preserve">. The AI Lab Intelligence Unobscured, Inc.,</w:t>
      </w:r>
      <w:r>
        <w:t xml:space="preserve"> </w:t>
      </w:r>
      <w:r>
        <w:t xml:space="preserve">Wilmington, DE.</w:t>
      </w:r>
    </w:p>
    <w:p>
      <w:pPr>
        <w:pStyle w:val="BodyText"/>
      </w:pPr>
      <w:r>
        <w:rPr>
          <w:b/>
          <w:bCs/>
        </w:rPr>
        <w:t xml:space="preserve">APA:</w:t>
      </w:r>
      <w:r>
        <w:t xml:space="preserve"> </w:t>
      </w:r>
      <w:r>
        <w:t xml:space="preserve">Mendhe, D. (2026).</w:t>
      </w:r>
      <w:r>
        <w:t xml:space="preserve"> </w:t>
      </w:r>
      <w:r>
        <w:rPr>
          <w:i/>
          <w:iCs/>
        </w:rPr>
        <w:t xml:space="preserve">TIP Protocol Whitepaper,</w:t>
      </w:r>
      <w:r>
        <w:rPr>
          <w:i/>
          <w:iCs/>
        </w:rPr>
        <w:t xml:space="preserve"> </w:t>
      </w:r>
      <w:r>
        <w:rPr>
          <w:i/>
          <w:iCs/>
        </w:rPr>
        <w:t xml:space="preserve">Version 1.0: Trust Identity Protocol for the Verifiable Internet</w:t>
      </w:r>
      <w:r>
        <w:t xml:space="preserve">.</w:t>
      </w:r>
      <w:r>
        <w:t xml:space="preserve"> </w:t>
      </w:r>
      <w:r>
        <w:t xml:space="preserve">The AI Lab Intelligence Unobscured, Inc.</w:t>
      </w:r>
    </w:p>
    <w:p>
      <w:pPr>
        <w:pStyle w:val="BodyText"/>
      </w:pPr>
      <w:r>
        <w:rPr>
          <w:b/>
          <w:bCs/>
        </w:rPr>
        <w:t xml:space="preserve">Chicago:</w:t>
      </w:r>
      <w:r>
        <w:t xml:space="preserve"> </w:t>
      </w:r>
      <w:r>
        <w:t xml:space="preserve">Mendhe, Dinesh. 2026.</w:t>
      </w:r>
      <w:r>
        <w:t xml:space="preserve"> </w:t>
      </w:r>
      <w:r>
        <w:rPr>
          <w:i/>
          <w:iCs/>
        </w:rPr>
        <w:t xml:space="preserve">TIP Protocol</w:t>
      </w:r>
      <w:r>
        <w:rPr>
          <w:i/>
          <w:iCs/>
        </w:rPr>
        <w:t xml:space="preserve"> </w:t>
      </w:r>
      <w:r>
        <w:rPr>
          <w:i/>
          <w:iCs/>
        </w:rPr>
        <w:t xml:space="preserve">Whitepaper, Version 1.0</w:t>
      </w:r>
      <w:r>
        <w:t xml:space="preserve">. Wilmington, DE: The AI Lab Intelligence</w:t>
      </w:r>
      <w:r>
        <w:t xml:space="preserve"> </w:t>
      </w:r>
      <w:r>
        <w:t xml:space="preserve">Unobscured, Inc.</w:t>
      </w:r>
    </w:p>
    <w:bookmarkEnd w:id="9"/>
    <w:bookmarkStart w:id="10" w:name="license-summary"/>
    <w:p>
      <w:pPr>
        <w:pStyle w:val="Heading1"/>
      </w:pPr>
      <w:r>
        <w:t xml:space="preserve">License Summary</w:t>
      </w:r>
    </w:p>
    <w:p>
      <w:pPr>
        <w:pStyle w:val="FirstParagraph"/>
      </w:pPr>
      <w:r>
        <w:t xml:space="preserve">This whitepaper is licensed under the Creative Commons Attribution</w:t>
      </w:r>
      <w:r>
        <w:t xml:space="preserve"> </w:t>
      </w:r>
      <w:r>
        <w:t xml:space="preserve">4.0 International Public License. Implementations of the technical</w:t>
      </w:r>
      <w:r>
        <w:t xml:space="preserve"> </w:t>
      </w:r>
      <w:r>
        <w:t xml:space="preserve">framework described herein are licensed under the TIP Protocol Code</w:t>
      </w:r>
      <w:r>
        <w:t xml:space="preserve"> </w:t>
      </w:r>
      <w:r>
        <w:t xml:space="preserve">License Version 1.0 (TIPCL-1.0). See Part X and Appendix F.</w:t>
      </w:r>
    </w:p>
    <w:bookmarkEnd w:id="10"/>
    <w:bookmarkStart w:id="11" w:name="document-status"/>
    <w:p>
      <w:pPr>
        <w:pStyle w:val="Heading1"/>
      </w:pPr>
      <w:r>
        <w:t xml:space="preserve">Document Status</w:t>
      </w:r>
    </w:p>
    <w:p>
      <w:pPr>
        <w:pStyle w:val="FirstParagraph"/>
      </w:pPr>
      <w:r>
        <w:t xml:space="preserve">Version 1.0, third printing. Published June 16, 2026 (incorporating</w:t>
      </w:r>
      <w:r>
        <w:t xml:space="preserve"> </w:t>
      </w:r>
      <w:r>
        <w:t xml:space="preserve">accuracy corrections to legal citations, the expanded universal</w:t>
      </w:r>
      <w:r>
        <w:t xml:space="preserve"> </w:t>
      </w:r>
      <w:r>
        <w:t xml:space="preserve">content-type taxonomy, the AI Trust Council growth and public</w:t>
      </w:r>
      <w:r>
        <w:t xml:space="preserve"> </w:t>
      </w:r>
      <w:r>
        <w:t xml:space="preserve">verification channels sections, and the Article 95(3) of the EU AI</w:t>
      </w:r>
      <w:r>
        <w:t xml:space="preserve"> </w:t>
      </w:r>
      <w:r>
        <w:t xml:space="preserve">Act multi-stakeholder framing). Original publication: June 4, 2026.</w:t>
      </w:r>
      <w:r>
        <w:t xml:space="preserve"> </w:t>
      </w:r>
      <w:r>
        <w:t xml:space="preserve">Next review: January 2027 (concurrent with the inaugural AI Trust</w:t>
      </w:r>
      <w:r>
        <w:t xml:space="preserve"> </w:t>
      </w:r>
      <w:r>
        <w:t xml:space="preserve">Council annual transparency report). Errata may be reported to</w:t>
      </w:r>
      <w:r>
        <w:t xml:space="preserve"> </w:t>
      </w:r>
      <w:r>
        <w:t xml:space="preserve">whitepaper-errata@theailab.org and will be published at</w:t>
      </w:r>
      <w:r>
        <w:t xml:space="preserve"> </w:t>
      </w:r>
      <w:r>
        <w:t xml:space="preserve">theailab.org/whitepaper/errata.</w:t>
      </w:r>
    </w:p>
    <w:bookmarkEnd w:id="11"/>
    <w:bookmarkStart w:id="12" w:name="distribution-list"/>
    <w:p>
      <w:pPr>
        <w:pStyle w:val="Heading1"/>
      </w:pPr>
      <w:r>
        <w:t xml:space="preserve">Distribution List</w:t>
      </w:r>
    </w:p>
    <w:p>
      <w:pPr>
        <w:pStyle w:val="FirstParagraph"/>
      </w:pPr>
      <w:r>
        <w:t xml:space="preserve">Public.</w:t>
      </w:r>
    </w:p>
    <w:bookmarkEnd w:id="12"/>
    <w:bookmarkStart w:id="13" w:name="foreword"/>
    <w:p>
      <w:pPr>
        <w:pStyle w:val="Heading1"/>
      </w:pPr>
      <w:r>
        <w:t xml:space="preserve">Foreword</w:t>
      </w:r>
    </w:p>
    <w:p>
      <w:pPr>
        <w:pStyle w:val="FirstParagraph"/>
      </w:pPr>
      <w:r>
        <w:t xml:space="preserve">By Dinesh Mendhe, Founder and Chairman of The AI Lab Intelligence</w:t>
      </w:r>
      <w:r>
        <w:t xml:space="preserve"> </w:t>
      </w:r>
      <w:r>
        <w:t xml:space="preserve">Unobscured, Inc.</w:t>
      </w:r>
    </w:p>
    <w:p>
      <w:pPr>
        <w:pStyle w:val="BodyText"/>
      </w:pPr>
      <w:r>
        <w:t xml:space="preserve">Dinesh Mendhe is the creator and founder of the Trust Identity</w:t>
      </w:r>
      <w:r>
        <w:t xml:space="preserve"> </w:t>
      </w:r>
      <w:r>
        <w:t xml:space="preserve">Protocol, the AI Trust Council, the AI Trust Registry, the AI Trust</w:t>
      </w:r>
      <w:r>
        <w:t xml:space="preserve"> </w:t>
      </w:r>
      <w:r>
        <w:t xml:space="preserve">ID, and the Human Trust ID system. He is the sole inventor named on</w:t>
      </w:r>
      <w:r>
        <w:t xml:space="preserve"> </w:t>
      </w:r>
      <w:r>
        <w:t xml:space="preserve">the five United States provisional patent applications underlying</w:t>
      </w:r>
      <w:r>
        <w:t xml:space="preserve"> </w:t>
      </w:r>
      <w:r>
        <w:t xml:space="preserve">the Trust Identity Protocol, the architect of the Canonical</w:t>
      </w:r>
      <w:r>
        <w:t xml:space="preserve"> </w:t>
      </w:r>
      <w:r>
        <w:t xml:space="preserve">Normalization Algorithm at every published version, and the author</w:t>
      </w:r>
      <w:r>
        <w:t xml:space="preserve"> </w:t>
      </w:r>
      <w:r>
        <w:t xml:space="preserve">of this whitepaper, of the canonical TIP Protocol Specification, and</w:t>
      </w:r>
      <w:r>
        <w:t xml:space="preserve"> </w:t>
      </w:r>
      <w:r>
        <w:t xml:space="preserve">of the founding instruments through which the protocol and the</w:t>
      </w:r>
      <w:r>
        <w:t xml:space="preserve"> </w:t>
      </w:r>
      <w:r>
        <w:t xml:space="preserve">Council enter the historical record.</w:t>
      </w:r>
    </w:p>
    <w:p>
      <w:pPr>
        <w:pStyle w:val="BodyText"/>
      </w:pPr>
      <w:r>
        <w:t xml:space="preserve">I am writing this foreword on the morning of the publication of the</w:t>
      </w:r>
      <w:r>
        <w:t xml:space="preserve"> </w:t>
      </w:r>
      <w:r>
        <w:t xml:space="preserve">first version of the Trust Identity Protocol Whitepaper. The work of two</w:t>
      </w:r>
      <w:r>
        <w:t xml:space="preserve"> </w:t>
      </w:r>
      <w:r>
        <w:t xml:space="preserve">years sits behind it. The work of the next several decades sits in front</w:t>
      </w:r>
      <w:r>
        <w:t xml:space="preserve"> </w:t>
      </w:r>
      <w:r>
        <w:t xml:space="preserve">of it.</w:t>
      </w:r>
    </w:p>
    <w:p>
      <w:pPr>
        <w:pStyle w:val="BodyText"/>
      </w:pPr>
      <w:r>
        <w:t xml:space="preserve">Today the protocol stands at the threshold of Genesis. The</w:t>
      </w:r>
      <w:r>
        <w:t xml:space="preserve"> </w:t>
      </w:r>
      <w:r>
        <w:t xml:space="preserve">publication of this whitepaper, the ratification of the AI Trust Council</w:t>
      </w:r>
      <w:r>
        <w:t xml:space="preserve"> </w:t>
      </w:r>
      <w:r>
        <w:t xml:space="preserve">Charter, the execution of the Founding Node Operator Agreements, and the</w:t>
      </w:r>
      <w:r>
        <w:t xml:space="preserve"> </w:t>
      </w:r>
      <w:r>
        <w:t xml:space="preserve">satisfaction of the Operational Readiness Conditions described in Part</w:t>
      </w:r>
      <w:r>
        <w:t xml:space="preserve"> </w:t>
      </w:r>
      <w:r>
        <w:t xml:space="preserve">XI together establish the conditions on which the federated network goes</w:t>
      </w:r>
      <w:r>
        <w:t xml:space="preserve"> </w:t>
      </w:r>
      <w:r>
        <w:t xml:space="preserve">live. The Genesis Date is a date in June 2026, to be determined by the</w:t>
      </w:r>
      <w:r>
        <w:t xml:space="preserve"> </w:t>
      </w:r>
      <w:r>
        <w:t xml:space="preserve">sole director on the satisfaction of those conditions, and published on</w:t>
      </w:r>
      <w:r>
        <w:t xml:space="preserve"> </w:t>
      </w:r>
      <w:r>
        <w:t xml:space="preserve">theailab.org not less than three business days in advance.</w:t>
      </w:r>
    </w:p>
    <w:p>
      <w:pPr>
        <w:pStyle w:val="BodyText"/>
      </w:pPr>
      <w:r>
        <w:t xml:space="preserve">I will not, in this foreword, restate the substance of the document.</w:t>
      </w:r>
      <w:r>
        <w:t xml:space="preserve"> </w:t>
      </w:r>
      <w:r>
        <w:t xml:space="preserve">Eleven Parts and twelve Appendices set out the technical architecture,</w:t>
      </w:r>
      <w:r>
        <w:t xml:space="preserve"> </w:t>
      </w:r>
      <w:r>
        <w:t xml:space="preserve">the regulatory posture, the institutional governance, the licensing</w:t>
      </w:r>
      <w:r>
        <w:t xml:space="preserve"> </w:t>
      </w:r>
      <w:r>
        <w:t xml:space="preserve">terms, the operational milestones, and the material risks of the</w:t>
      </w:r>
      <w:r>
        <w:t xml:space="preserve"> </w:t>
      </w:r>
      <w:r>
        <w:t xml:space="preserve">protocol. The reader will find each in its place. What I will do, in</w:t>
      </w:r>
      <w:r>
        <w:t xml:space="preserve"> </w:t>
      </w:r>
      <w:r>
        <w:t xml:space="preserve">this foreword, is record three commitments on which everything in the</w:t>
      </w:r>
      <w:r>
        <w:t xml:space="preserve"> </w:t>
      </w:r>
      <w:r>
        <w:t xml:space="preserve">document depends and to which I have asked the reader to attach The AI</w:t>
      </w:r>
      <w:r>
        <w:t xml:space="preserve"> </w:t>
      </w:r>
      <w:r>
        <w:t xml:space="preserve">Lab and to attach me personally.</w:t>
      </w:r>
    </w:p>
    <w:p>
      <w:pPr>
        <w:pStyle w:val="BodyText"/>
      </w:pPr>
      <w:r>
        <w:t xml:space="preserve">The first commitment is to the people. The Trust Identity Protocol</w:t>
      </w:r>
      <w:r>
        <w:t xml:space="preserve"> </w:t>
      </w:r>
      <w:r>
        <w:t xml:space="preserve">exists because journalists, publishers, creators, public officials,</w:t>
      </w:r>
      <w:r>
        <w:t xml:space="preserve"> </w:t>
      </w:r>
      <w:r>
        <w:t xml:space="preserve">courts, regulators, and ordinary readers cannot, in the present state of</w:t>
      </w:r>
      <w:r>
        <w:t xml:space="preserve"> </w:t>
      </w:r>
      <w:r>
        <w:t xml:space="preserve">digital media, reliably distinguish authentic content from synthetic</w:t>
      </w:r>
      <w:r>
        <w:t xml:space="preserve"> </w:t>
      </w:r>
      <w:r>
        <w:t xml:space="preserve">content, or reliably identify the party responsible for either. The</w:t>
      </w:r>
      <w:r>
        <w:t xml:space="preserve"> </w:t>
      </w:r>
      <w:r>
        <w:t xml:space="preserve">condition has consequences in journalism, in civic discourse, in the</w:t>
      </w:r>
      <w:r>
        <w:t xml:space="preserve"> </w:t>
      </w:r>
      <w:r>
        <w:t xml:space="preserve">administration of justice, in financial markets, and in personal life.</w:t>
      </w:r>
      <w:r>
        <w:t xml:space="preserve"> </w:t>
      </w:r>
      <w:r>
        <w:t xml:space="preserve">It is not an abstract problem. The protocol exists to address a concrete</w:t>
      </w:r>
      <w:r>
        <w:t xml:space="preserve"> </w:t>
      </w:r>
      <w:r>
        <w:t xml:space="preserve">consequence in concrete lives. The protocol’s design choices, beginning</w:t>
      </w:r>
      <w:r>
        <w:t xml:space="preserve"> </w:t>
      </w:r>
      <w:r>
        <w:t xml:space="preserve">with the architectural decision that the biometric template of a creator</w:t>
      </w:r>
      <w:r>
        <w:t xml:space="preserve"> </w:t>
      </w:r>
      <w:r>
        <w:t xml:space="preserve">never leaves the creator’s device and continuing through the</w:t>
      </w:r>
      <w:r>
        <w:t xml:space="preserve"> </w:t>
      </w:r>
      <w:r>
        <w:t xml:space="preserve">pseudonymity-with-accountability structure of the CTID, are made with</w:t>
      </w:r>
      <w:r>
        <w:t xml:space="preserve"> </w:t>
      </w:r>
      <w:r>
        <w:t xml:space="preserve">the human person at the center. I commit, on behalf of The AI Lab, that</w:t>
      </w:r>
      <w:r>
        <w:t xml:space="preserve"> </w:t>
      </w:r>
      <w:r>
        <w:t xml:space="preserve">no change to the protocol or to the operations of The AI Lab will</w:t>
      </w:r>
      <w:r>
        <w:t xml:space="preserve"> </w:t>
      </w:r>
      <w:r>
        <w:t xml:space="preserve">compromise that orientation.</w:t>
      </w:r>
    </w:p>
    <w:p>
      <w:pPr>
        <w:pStyle w:val="BodyText"/>
      </w:pPr>
      <w:r>
        <w:t xml:space="preserve">The second commitment is to the rule of law. The protocol does not</w:t>
      </w:r>
      <w:r>
        <w:t xml:space="preserve"> </w:t>
      </w:r>
      <w:r>
        <w:t xml:space="preserve">seek to exempt any party from the operation of the law. The Verification</w:t>
      </w:r>
      <w:r>
        <w:t xml:space="preserve"> </w:t>
      </w:r>
      <w:r>
        <w:t xml:space="preserve">Provider operates under the law of its jurisdiction. The Node Operator</w:t>
      </w:r>
      <w:r>
        <w:t xml:space="preserve"> </w:t>
      </w:r>
      <w:r>
        <w:t xml:space="preserve">operates under the law of its jurisdiction. The AI Lab operates under</w:t>
      </w:r>
      <w:r>
        <w:t xml:space="preserve"> </w:t>
      </w:r>
      <w:r>
        <w:t xml:space="preserve">the law of the State of Delaware and of the United States, and under the</w:t>
      </w:r>
      <w:r>
        <w:t xml:space="preserve"> </w:t>
      </w:r>
      <w:r>
        <w:t xml:space="preserve">law of each jurisdiction in which it engages. The AI Trust Council</w:t>
      </w:r>
      <w:r>
        <w:t xml:space="preserve"> </w:t>
      </w:r>
      <w:r>
        <w:t xml:space="preserve">operates under a Charter drafted to satisfy the independence indicia</w:t>
      </w:r>
      <w:r>
        <w:t xml:space="preserve"> </w:t>
      </w:r>
      <w:r>
        <w:t xml:space="preserve">that regulators and courts will apply. The protocol’s transparency</w:t>
      </w:r>
      <w:r>
        <w:t xml:space="preserve"> </w:t>
      </w:r>
      <w:r>
        <w:t xml:space="preserve">provisions, its warrant canary requirement, its jurisdiction declaration</w:t>
      </w:r>
      <w:r>
        <w:t xml:space="preserve"> </w:t>
      </w:r>
      <w:r>
        <w:t xml:space="preserve">requirement, and its audit obligation are not concessions reluctantly</w:t>
      </w:r>
      <w:r>
        <w:t xml:space="preserve"> </w:t>
      </w:r>
      <w:r>
        <w:t xml:space="preserve">made in response to regulatory pressure. They are design choices. The</w:t>
      </w:r>
      <w:r>
        <w:t xml:space="preserve"> </w:t>
      </w:r>
      <w:r>
        <w:t xml:space="preserve">institutions that the protocol depends on are the institutions of a free</w:t>
      </w:r>
      <w:r>
        <w:t xml:space="preserve"> </w:t>
      </w:r>
      <w:r>
        <w:t xml:space="preserve">society, and the protocol is offered in support of those</w:t>
      </w:r>
      <w:r>
        <w:t xml:space="preserve"> </w:t>
      </w:r>
      <w:r>
        <w:t xml:space="preserve">institutions.</w:t>
      </w:r>
    </w:p>
    <w:p>
      <w:pPr>
        <w:pStyle w:val="BodyText"/>
      </w:pPr>
      <w:r>
        <w:t xml:space="preserve">The third commitment is to the long horizon. The cryptographic</w:t>
      </w:r>
      <w:r>
        <w:t xml:space="preserve"> </w:t>
      </w:r>
      <w:r>
        <w:t xml:space="preserve">primitives are selected against the cryptographic conditions of the next</w:t>
      </w:r>
      <w:r>
        <w:t xml:space="preserve"> </w:t>
      </w:r>
      <w:r>
        <w:t xml:space="preserve">several decades. The append-only DAG is structured for retention of</w:t>
      </w:r>
      <w:r>
        <w:t xml:space="preserve"> </w:t>
      </w:r>
      <w:r>
        <w:t xml:space="preserve">records over the same horizon. The licensing terms convert to permissive</w:t>
      </w:r>
      <w:r>
        <w:t xml:space="preserve"> </w:t>
      </w:r>
      <w:r>
        <w:t xml:space="preserve">open source on a fixed date. The AI Trust Council Charter contemplates</w:t>
      </w:r>
      <w:r>
        <w:t xml:space="preserve"> </w:t>
      </w:r>
      <w:r>
        <w:t xml:space="preserve">expansion, dissent, succession, and reauthorization on an indefinite</w:t>
      </w:r>
      <w:r>
        <w:t xml:space="preserve"> </w:t>
      </w:r>
      <w:r>
        <w:t xml:space="preserve">horizon. The protocol is not a startup product. The protocol is a piece</w:t>
      </w:r>
      <w:r>
        <w:t xml:space="preserve"> </w:t>
      </w:r>
      <w:r>
        <w:t xml:space="preserve">of foundational infrastructure offered to a society that requires</w:t>
      </w:r>
      <w:r>
        <w:t xml:space="preserve"> </w:t>
      </w:r>
      <w:r>
        <w:t xml:space="preserve">foundational infrastructure for content authenticity and verifiable</w:t>
      </w:r>
      <w:r>
        <w:t xml:space="preserve"> </w:t>
      </w:r>
      <w:r>
        <w:t xml:space="preserve">identity. The AI Lab will operate the protocol for as long as the</w:t>
      </w:r>
      <w:r>
        <w:t xml:space="preserve"> </w:t>
      </w:r>
      <w:r>
        <w:t xml:space="preserve">protocol is needed, will steward the protocol’s evolution through the AI</w:t>
      </w:r>
      <w:r>
        <w:t xml:space="preserve"> </w:t>
      </w:r>
      <w:r>
        <w:t xml:space="preserve">Trust Council, and will, on the conditions described in this whitepaper,</w:t>
      </w:r>
      <w:r>
        <w:t xml:space="preserve"> </w:t>
      </w:r>
      <w:r>
        <w:t xml:space="preserve">eventually relinquish proprietary control through the Apache License 2.0</w:t>
      </w:r>
      <w:r>
        <w:t xml:space="preserve"> </w:t>
      </w:r>
      <w:r>
        <w:t xml:space="preserve">conversion provision of January 1, 2031.</w:t>
      </w:r>
    </w:p>
    <w:p>
      <w:pPr>
        <w:pStyle w:val="BodyText"/>
      </w:pPr>
      <w:r>
        <w:t xml:space="preserve">To the Founding Node Operators who have committed their organizations</w:t>
      </w:r>
      <w:r>
        <w:t xml:space="preserve"> </w:t>
      </w:r>
      <w:r>
        <w:t xml:space="preserve">to the operation of the federated network from the Genesis Date through</w:t>
      </w:r>
      <w:r>
        <w:t xml:space="preserve"> </w:t>
      </w:r>
      <w:r>
        <w:t xml:space="preserve">the Founding Period, in the United Kingdom, in India, in the United</w:t>
      </w:r>
      <w:r>
        <w:t xml:space="preserve"> </w:t>
      </w:r>
      <w:r>
        <w:t xml:space="preserve">States, and in New Zealand: I am grateful. To the Founding Members of</w:t>
      </w:r>
      <w:r>
        <w:t xml:space="preserve"> </w:t>
      </w:r>
      <w:r>
        <w:t xml:space="preserve">the AI Trust Council, who have accepted responsibility for the</w:t>
      </w:r>
      <w:r>
        <w:t xml:space="preserve"> </w:t>
      </w:r>
      <w:r>
        <w:t xml:space="preserve">governance of the protocol during a period in which the responsibility</w:t>
      </w:r>
      <w:r>
        <w:t xml:space="preserve"> </w:t>
      </w:r>
      <w:r>
        <w:t xml:space="preserve">is significant and the public reward is modest, I am grateful. To the</w:t>
      </w:r>
      <w:r>
        <w:t xml:space="preserve"> </w:t>
      </w:r>
      <w:r>
        <w:t xml:space="preserve">regulators, supervisory authorities, standards organizations, civil</w:t>
      </w:r>
      <w:r>
        <w:t xml:space="preserve"> </w:t>
      </w:r>
      <w:r>
        <w:t xml:space="preserve">society organizations, and academic institutions that will engage with</w:t>
      </w:r>
      <w:r>
        <w:t xml:space="preserve"> </w:t>
      </w:r>
      <w:r>
        <w:t xml:space="preserve">the protocol in the months and years to come, I extend the invitation</w:t>
      </w:r>
      <w:r>
        <w:t xml:space="preserve"> </w:t>
      </w:r>
      <w:r>
        <w:t xml:space="preserve">The AI Lab makes in this whitepaper, and I record The AI Lab’s</w:t>
      </w:r>
      <w:r>
        <w:t xml:space="preserve"> </w:t>
      </w:r>
      <w:r>
        <w:t xml:space="preserve">commitment to engage as a serious institution, with patience, with</w:t>
      </w:r>
      <w:r>
        <w:t xml:space="preserve"> </w:t>
      </w:r>
      <w:r>
        <w:t xml:space="preserve">respect for the public function of the engaging body, and with the</w:t>
      </w:r>
      <w:r>
        <w:t xml:space="preserve"> </w:t>
      </w:r>
      <w:r>
        <w:t xml:space="preserve">institutional patience that a foundational infrastructure project</w:t>
      </w:r>
      <w:r>
        <w:t xml:space="preserve"> </w:t>
      </w:r>
      <w:r>
        <w:t xml:space="preserve">requires.</w:t>
      </w:r>
    </w:p>
    <w:p>
      <w:pPr>
        <w:pStyle w:val="BodyText"/>
      </w:pPr>
      <w:r>
        <w:t xml:space="preserve">The protocol’s success is not within the gift of any single party. It</w:t>
      </w:r>
      <w:r>
        <w:t xml:space="preserve"> </w:t>
      </w:r>
      <w:r>
        <w:t xml:space="preserve">depends on the conduct of many parties in many jurisdictions over many</w:t>
      </w:r>
      <w:r>
        <w:t xml:space="preserve"> </w:t>
      </w:r>
      <w:r>
        <w:t xml:space="preserve">years. The AI Lab will do its part. We ask the reader to consider</w:t>
      </w:r>
      <w:r>
        <w:t xml:space="preserve"> </w:t>
      </w:r>
      <w:r>
        <w:t xml:space="preserve">whether to do the reader’s part as well.</w:t>
      </w:r>
    </w:p>
    <w:p>
      <w:pPr>
        <w:pStyle w:val="BodyText"/>
      </w:pPr>
      <w:r>
        <w:t xml:space="preserve">Dinesh Mendhe Founder and Chairman The AI Lab Intelligence</w:t>
      </w:r>
      <w:r>
        <w:t xml:space="preserve"> </w:t>
      </w:r>
      <w:r>
        <w:t xml:space="preserve">Unobscured, Inc. Wilmington, Delaware June 2, 2026</w:t>
      </w:r>
    </w:p>
    <w:bookmarkEnd w:id="13"/>
    <w:bookmarkStart w:id="23" w:name="acknowledgments"/>
    <w:p>
      <w:pPr>
        <w:pStyle w:val="Heading1"/>
      </w:pPr>
      <w:r>
        <w:t xml:space="preserve">Acknowledgments</w:t>
      </w:r>
    </w:p>
    <w:p>
      <w:pPr>
        <w:pStyle w:val="FirstParagraph"/>
      </w:pPr>
      <w:r>
        <w:t xml:space="preserve">The publication of this whitepaper, and the operation of the protocol</w:t>
      </w:r>
      <w:r>
        <w:t xml:space="preserve"> </w:t>
      </w:r>
      <w:r>
        <w:t xml:space="preserve">it describes, depend on the contributions of many institutions and many</w:t>
      </w:r>
      <w:r>
        <w:t xml:space="preserve"> </w:t>
      </w:r>
      <w:r>
        <w:t xml:space="preserve">natural persons. The AI Lab Intelligence Unobscured, Inc. acknowledges,</w:t>
      </w:r>
      <w:r>
        <w:t xml:space="preserve"> </w:t>
      </w:r>
      <w:r>
        <w:t xml:space="preserve">with gratitude, the following contributions.</w:t>
      </w:r>
    </w:p>
    <w:bookmarkStart w:id="14" w:name="founding-node-operators"/>
    <w:p>
      <w:pPr>
        <w:pStyle w:val="Heading2"/>
      </w:pPr>
      <w:r>
        <w:t xml:space="preserve">Founding Node Operators</w:t>
      </w:r>
    </w:p>
    <w:p>
      <w:pPr>
        <w:pStyle w:val="FirstParagraph"/>
      </w:pPr>
      <w:r>
        <w:t xml:space="preserve">The protocol’s federated network is, at the date of publication,</w:t>
      </w:r>
      <w:r>
        <w:t xml:space="preserve"> </w:t>
      </w:r>
      <w:r>
        <w:t xml:space="preserve">being stood up in pre-Genesis operating mode, the pilot phase</w:t>
      </w:r>
      <w:r>
        <w:t xml:space="preserve"> </w:t>
      </w:r>
      <w:r>
        <w:t xml:space="preserve">preceding live production defined in Executive Summary Section ES.7.</w:t>
      </w:r>
      <w:r>
        <w:t xml:space="preserve"> </w:t>
      </w:r>
      <w:r>
        <w:t xml:space="preserve">Live production operation commences on the Genesis Date. During the Pre-Genesis Period and continuing into the</w:t>
      </w:r>
      <w:r>
        <w:t xml:space="preserve"> </w:t>
      </w:r>
      <w:r>
        <w:t xml:space="preserve">Founding Period that follows from the Genesis Date, the network is</w:t>
      </w:r>
      <w:r>
        <w:t xml:space="preserve"> </w:t>
      </w:r>
      <w:r>
        <w:t xml:space="preserve">and will be operated by seven Founding Node Operators with signed</w:t>
      </w:r>
      <w:r>
        <w:t xml:space="preserve"> </w:t>
      </w:r>
      <w:r>
        <w:t xml:space="preserve">Founding Node Operator Agreements and three additional Founding Node</w:t>
      </w:r>
      <w:r>
        <w:t xml:space="preserve"> </w:t>
      </w:r>
      <w:r>
        <w:t xml:space="preserve">Operators in accession, across four jurisdictions:</w:t>
      </w:r>
    </w:p>
    <w:tbl>
      <w:tblPr>
        <w:tblStyle w:val="Table"/>
        <w:tblW w:type="pct" w:w="5000"/>
        <w:tblLayout w:type="fixed"/>
        <w:tblLook w:firstRow="1" w:lastRow="0" w:firstColumn="0" w:lastColumn="0" w:noHBand="0" w:noVBand="0" w:val="0020"/>
      </w:tblPr>
      <w:tblGrid>
        <w:gridCol w:w="3429"/>
        <w:gridCol w:w="2449"/>
        <w:gridCol w:w="898"/>
        <w:gridCol w:w="1143"/>
      </w:tblGrid>
      <w:tr>
        <w:trPr>
          <w:tblHeader w:val="on"/>
        </w:trPr>
        <w:tc>
          <w:tcPr/>
          <w:p>
            <w:pPr>
              <w:pStyle w:val="Compact"/>
            </w:pPr>
            <w:r>
              <w:t xml:space="preserve">Founding Node Operator</w:t>
            </w:r>
          </w:p>
        </w:tc>
        <w:tc>
          <w:tcPr/>
          <w:p>
            <w:pPr>
              <w:pStyle w:val="Compact"/>
            </w:pPr>
            <w:r>
              <w:t xml:space="preserve">Jurisdiction</w:t>
            </w:r>
          </w:p>
        </w:tc>
        <w:tc>
          <w:tcPr/>
          <w:p>
            <w:pPr>
              <w:pStyle w:val="Compact"/>
            </w:pPr>
            <w:r>
              <w:t xml:space="preserve">Node type</w:t>
            </w:r>
          </w:p>
        </w:tc>
        <w:tc>
          <w:tcPr/>
          <w:p>
            <w:pPr>
              <w:pStyle w:val="Compact"/>
            </w:pPr>
            <w:r>
              <w:t xml:space="preserve">Status</w:t>
            </w:r>
          </w:p>
        </w:tc>
      </w:tr>
      <w:tr>
        <w:tc>
          <w:tcPr/>
          <w:p>
            <w:pPr>
              <w:pStyle w:val="Compact"/>
            </w:pPr>
            <w:r>
              <w:t xml:space="preserve">THE PRESCIENT PACHYDERM LTD</w:t>
            </w:r>
          </w:p>
        </w:tc>
        <w:tc>
          <w:tcPr/>
          <w:p>
            <w:pPr>
              <w:pStyle w:val="Compact"/>
            </w:pPr>
            <w:r>
              <w:t xml:space="preserve">United Kingdom</w:t>
            </w:r>
          </w:p>
        </w:tc>
        <w:tc>
          <w:tcPr/>
          <w:p>
            <w:pPr>
              <w:pStyle w:val="Compact"/>
            </w:pPr>
            <w:r>
              <w:t xml:space="preserve">Full Node</w:t>
            </w:r>
          </w:p>
        </w:tc>
        <w:tc>
          <w:tcPr/>
          <w:p>
            <w:pPr>
              <w:pStyle w:val="Compact"/>
            </w:pPr>
            <w:r>
              <w:t xml:space="preserve">Signed</w:t>
            </w:r>
          </w:p>
        </w:tc>
      </w:tr>
      <w:tr>
        <w:tc>
          <w:tcPr/>
          <w:p>
            <w:pPr>
              <w:pStyle w:val="Compact"/>
            </w:pPr>
            <w:r>
              <w:t xml:space="preserve">AZLogics Private Limited</w:t>
            </w:r>
          </w:p>
        </w:tc>
        <w:tc>
          <w:tcPr/>
          <w:p>
            <w:pPr>
              <w:pStyle w:val="Compact"/>
            </w:pPr>
            <w:r>
              <w:t xml:space="preserve">India</w:t>
            </w:r>
          </w:p>
        </w:tc>
        <w:tc>
          <w:tcPr/>
          <w:p>
            <w:pPr>
              <w:pStyle w:val="Compact"/>
            </w:pPr>
            <w:r>
              <w:t xml:space="preserve">Full Node</w:t>
            </w:r>
          </w:p>
        </w:tc>
        <w:tc>
          <w:tcPr/>
          <w:p>
            <w:pPr>
              <w:pStyle w:val="Compact"/>
            </w:pPr>
            <w:r>
              <w:t xml:space="preserve">Signed</w:t>
            </w:r>
          </w:p>
        </w:tc>
      </w:tr>
      <w:tr>
        <w:tc>
          <w:tcPr/>
          <w:p>
            <w:pPr>
              <w:pStyle w:val="Compact"/>
            </w:pPr>
            <w:r>
              <w:t xml:space="preserve">Apex Modular Solutions LLC</w:t>
            </w:r>
          </w:p>
        </w:tc>
        <w:tc>
          <w:tcPr/>
          <w:p>
            <w:pPr>
              <w:pStyle w:val="Compact"/>
            </w:pPr>
            <w:r>
              <w:t xml:space="preserve">United States</w:t>
            </w:r>
          </w:p>
        </w:tc>
        <w:tc>
          <w:tcPr/>
          <w:p>
            <w:pPr>
              <w:pStyle w:val="Compact"/>
            </w:pPr>
            <w:r>
              <w:t xml:space="preserve">Full Node</w:t>
            </w:r>
          </w:p>
        </w:tc>
        <w:tc>
          <w:tcPr/>
          <w:p>
            <w:pPr>
              <w:pStyle w:val="Compact"/>
            </w:pPr>
            <w:r>
              <w:t xml:space="preserve">Signed</w:t>
            </w:r>
          </w:p>
        </w:tc>
      </w:tr>
      <w:tr>
        <w:tc>
          <w:tcPr/>
          <w:p>
            <w:pPr>
              <w:pStyle w:val="Compact"/>
            </w:pPr>
            <w:r>
              <w:t xml:space="preserve">Timpi International Ltd</w:t>
            </w:r>
          </w:p>
        </w:tc>
        <w:tc>
          <w:tcPr/>
          <w:p>
            <w:pPr>
              <w:pStyle w:val="Compact"/>
            </w:pPr>
            <w:r>
              <w:t xml:space="preserve">New Zealand</w:t>
            </w:r>
          </w:p>
        </w:tc>
        <w:tc>
          <w:tcPr/>
          <w:p>
            <w:pPr>
              <w:pStyle w:val="Compact"/>
            </w:pPr>
            <w:r>
              <w:t xml:space="preserve">Full Node</w:t>
            </w:r>
          </w:p>
        </w:tc>
        <w:tc>
          <w:tcPr/>
          <w:p>
            <w:pPr>
              <w:pStyle w:val="Compact"/>
            </w:pPr>
            <w:r>
              <w:t xml:space="preserve">Signed</w:t>
            </w:r>
          </w:p>
        </w:tc>
      </w:tr>
      <w:tr>
        <w:tc>
          <w:tcPr/>
          <w:p>
            <w:pPr>
              <w:pStyle w:val="Compact"/>
            </w:pPr>
            <w:r>
              <w:t xml:space="preserve">Lonestar Data Holdings Inc.</w:t>
            </w:r>
          </w:p>
        </w:tc>
        <w:tc>
          <w:tcPr/>
          <w:p>
            <w:pPr>
              <w:pStyle w:val="Compact"/>
            </w:pPr>
            <w:r>
              <w:t xml:space="preserve">United States</w:t>
            </w:r>
          </w:p>
        </w:tc>
        <w:tc>
          <w:tcPr/>
          <w:p>
            <w:pPr>
              <w:pStyle w:val="Compact"/>
            </w:pPr>
            <w:r>
              <w:t xml:space="preserve">Full Node</w:t>
            </w:r>
          </w:p>
        </w:tc>
        <w:tc>
          <w:tcPr/>
          <w:p>
            <w:pPr>
              <w:pStyle w:val="Compact"/>
            </w:pPr>
            <w:r>
              <w:t xml:space="preserve">Signed</w:t>
            </w:r>
          </w:p>
        </w:tc>
      </w:tr>
      <w:tr>
        <w:tc>
          <w:tcPr/>
          <w:p>
            <w:pPr>
              <w:pStyle w:val="Compact"/>
            </w:pPr>
            <w:r>
              <w:t xml:space="preserve">6Simplex Software Solutions Pvt Ltd</w:t>
            </w:r>
          </w:p>
        </w:tc>
        <w:tc>
          <w:tcPr/>
          <w:p>
            <w:pPr>
              <w:pStyle w:val="Compact"/>
            </w:pPr>
            <w:r>
              <w:t xml:space="preserve">India</w:t>
            </w:r>
          </w:p>
        </w:tc>
        <w:tc>
          <w:tcPr/>
          <w:p>
            <w:pPr>
              <w:pStyle w:val="Compact"/>
            </w:pPr>
            <w:r>
              <w:t xml:space="preserve">Full Node</w:t>
            </w:r>
          </w:p>
        </w:tc>
        <w:tc>
          <w:tcPr/>
          <w:p>
            <w:pPr>
              <w:pStyle w:val="Compact"/>
            </w:pPr>
            <w:r>
              <w:t xml:space="preserve">Signed</w:t>
            </w:r>
          </w:p>
        </w:tc>
      </w:tr>
      <w:tr>
        <w:tc>
          <w:tcPr/>
          <w:p>
            <w:pPr>
              <w:pStyle w:val="Compact"/>
            </w:pPr>
            <w:r>
              <w:t xml:space="preserve">The AI Lab Intelligence Unobscured, Inc.</w:t>
            </w:r>
          </w:p>
        </w:tc>
        <w:tc>
          <w:tcPr/>
          <w:p>
            <w:pPr>
              <w:pStyle w:val="Compact"/>
            </w:pPr>
            <w:r>
              <w:t xml:space="preserve">United States (theailab.org)</w:t>
            </w:r>
          </w:p>
        </w:tc>
        <w:tc>
          <w:tcPr/>
          <w:p>
            <w:pPr>
              <w:pStyle w:val="Compact"/>
            </w:pPr>
            <w:r>
              <w:t xml:space="preserve">Full Node</w:t>
            </w:r>
          </w:p>
        </w:tc>
        <w:tc>
          <w:tcPr/>
          <w:p>
            <w:pPr>
              <w:pStyle w:val="Compact"/>
            </w:pPr>
            <w:r>
              <w:t xml:space="preserve">Signed</w:t>
            </w:r>
          </w:p>
        </w:tc>
      </w:tr>
      <w:tr>
        <w:tc>
          <w:tcPr/>
          <w:p>
            <w:pPr>
              <w:pStyle w:val="Compact"/>
            </w:pPr>
            <w:r>
              <w:t xml:space="preserve">Marist University</w:t>
            </w:r>
          </w:p>
        </w:tc>
        <w:tc>
          <w:tcPr/>
          <w:p>
            <w:pPr>
              <w:pStyle w:val="Compact"/>
            </w:pPr>
            <w:r>
              <w:t xml:space="preserve">United States</w:t>
            </w:r>
          </w:p>
        </w:tc>
        <w:tc>
          <w:tcPr/>
          <w:p>
            <w:pPr>
              <w:pStyle w:val="Compact"/>
            </w:pPr>
            <w:r>
              <w:t xml:space="preserve">Full Node</w:t>
            </w:r>
          </w:p>
        </w:tc>
        <w:tc>
          <w:tcPr/>
          <w:p>
            <w:pPr>
              <w:pStyle w:val="Compact"/>
            </w:pPr>
            <w:r>
              <w:t xml:space="preserve">In accession</w:t>
            </w:r>
          </w:p>
        </w:tc>
      </w:tr>
      <w:tr>
        <w:tc>
          <w:tcPr/>
          <w:p>
            <w:pPr>
              <w:pStyle w:val="Compact"/>
            </w:pPr>
            <w:r>
              <w:t xml:space="preserve">Rutgers University</w:t>
            </w:r>
          </w:p>
        </w:tc>
        <w:tc>
          <w:tcPr/>
          <w:p>
            <w:pPr>
              <w:pStyle w:val="Compact"/>
            </w:pPr>
            <w:r>
              <w:t xml:space="preserve">United States</w:t>
            </w:r>
          </w:p>
        </w:tc>
        <w:tc>
          <w:tcPr/>
          <w:p>
            <w:pPr>
              <w:pStyle w:val="Compact"/>
            </w:pPr>
            <w:r>
              <w:t xml:space="preserve">Full Node</w:t>
            </w:r>
          </w:p>
        </w:tc>
        <w:tc>
          <w:tcPr/>
          <w:p>
            <w:pPr>
              <w:pStyle w:val="Compact"/>
            </w:pPr>
            <w:r>
              <w:t xml:space="preserve">In accession</w:t>
            </w:r>
          </w:p>
        </w:tc>
      </w:tr>
      <w:tr>
        <w:tc>
          <w:tcPr/>
          <w:p>
            <w:pPr>
              <w:pStyle w:val="Compact"/>
            </w:pPr>
            <w:r>
              <w:t xml:space="preserve">The Core / BOOM FactCheck</w:t>
            </w:r>
          </w:p>
        </w:tc>
        <w:tc>
          <w:tcPr/>
          <w:p>
            <w:pPr>
              <w:pStyle w:val="Compact"/>
            </w:pPr>
            <w:r>
              <w:t xml:space="preserve">India</w:t>
            </w:r>
          </w:p>
        </w:tc>
        <w:tc>
          <w:tcPr/>
          <w:p>
            <w:pPr>
              <w:pStyle w:val="Compact"/>
            </w:pPr>
            <w:r>
              <w:t xml:space="preserve">Full Node</w:t>
            </w:r>
          </w:p>
        </w:tc>
        <w:tc>
          <w:tcPr/>
          <w:p>
            <w:pPr>
              <w:pStyle w:val="Compact"/>
            </w:pPr>
            <w:r>
              <w:t xml:space="preserve">In accession</w:t>
            </w:r>
          </w:p>
        </w:tc>
      </w:tr>
    </w:tbl>
    <w:p>
      <w:pPr>
        <w:pStyle w:val="BodyText"/>
      </w:pPr>
      <w:r>
        <w:t xml:space="preserve">At the date of publication, three of the ten Founding Node Operators</w:t>
      </w:r>
      <w:r>
        <w:t xml:space="preserve"> </w:t>
      </w:r>
      <w:r>
        <w:t xml:space="preserve">above (Marist University, Rutgers University, and The Core / BOOM</w:t>
      </w:r>
      <w:r>
        <w:t xml:space="preserve"> </w:t>
      </w:r>
      <w:r>
        <w:t xml:space="preserve">FactCheck) are in accession. Accession is the period in which an</w:t>
      </w:r>
      <w:r>
        <w:t xml:space="preserve"> </w:t>
      </w:r>
      <w:r>
        <w:t xml:space="preserve">incoming Founding Node Operator has agreed in principle and is in</w:t>
      </w:r>
      <w:r>
        <w:t xml:space="preserve"> </w:t>
      </w:r>
      <w:r>
        <w:t xml:space="preserve">final review of the Founding Node Operator Agreement, the Service</w:t>
      </w:r>
      <w:r>
        <w:t xml:space="preserve"> </w:t>
      </w:r>
      <w:r>
        <w:t xml:space="preserve">Level Agreement, and the Technical Requirements Specification. If</w:t>
      </w:r>
      <w:r>
        <w:t xml:space="preserve"> </w:t>
      </w:r>
      <w:r>
        <w:t xml:space="preserve">any party in accession does not countersign by the Genesis Date,</w:t>
      </w:r>
      <w:r>
        <w:t xml:space="preserve"> </w:t>
      </w:r>
      <w:r>
        <w:t xml:space="preserve">the AI Trust Council will publish a revised list of Founding Node</w:t>
      </w:r>
      <w:r>
        <w:t xml:space="preserve"> </w:t>
      </w:r>
      <w:r>
        <w:t xml:space="preserve">Operators at theailab.org/whitepaper/errata, accompanied by a</w:t>
      </w:r>
      <w:r>
        <w:t xml:space="preserve"> </w:t>
      </w:r>
      <w:r>
        <w:t xml:space="preserve">revised printing of this whitepaper.</w:t>
      </w:r>
    </w:p>
    <w:p>
      <w:pPr>
        <w:pStyle w:val="BodyText"/>
      </w:pPr>
      <w:r>
        <w:t xml:space="preserve">Each Founding Node Operator that has signed has committed its</w:t>
      </w:r>
      <w:r>
        <w:t xml:space="preserve"> </w:t>
      </w:r>
      <w:r>
        <w:t xml:space="preserve">organization to the operation of a Full Node, first in pre-Genesis</w:t>
      </w:r>
      <w:r>
        <w:t xml:space="preserve"> </w:t>
      </w:r>
      <w:r>
        <w:t xml:space="preserve">operating mode and from the Genesis Date in live production</w:t>
      </w:r>
      <w:r>
        <w:t xml:space="preserve"> </w:t>
      </w:r>
      <w:r>
        <w:t xml:space="preserve">operation; to the service level commitments; to the warrant canary</w:t>
      </w:r>
      <w:r>
        <w:t xml:space="preserve"> </w:t>
      </w:r>
      <w:r>
        <w:t xml:space="preserve">and jurisdiction declaration requirements; and to the data protection</w:t>
      </w:r>
      <w:r>
        <w:t xml:space="preserve"> </w:t>
      </w:r>
      <w:r>
        <w:t xml:space="preserve">and cybersecurity obligations of its jurisdiction. Each Founding</w:t>
      </w:r>
      <w:r>
        <w:t xml:space="preserve"> </w:t>
      </w:r>
      <w:r>
        <w:t xml:space="preserve">Node Operator in accession has agreed in principle to the same</w:t>
      </w:r>
      <w:r>
        <w:t xml:space="preserve"> </w:t>
      </w:r>
      <w:r>
        <w:t xml:space="preserve">commitments and is in the final-execution phase of those Agreements.</w:t>
      </w:r>
      <w:r>
        <w:t xml:space="preserve"> </w:t>
      </w:r>
      <w:r>
        <w:t xml:space="preserve">The protocol is not yet in live production at the date of</w:t>
      </w:r>
      <w:r>
        <w:t xml:space="preserve"> </w:t>
      </w:r>
      <w:r>
        <w:t xml:space="preserve">publication; live production operation commences on the Genesis Date. The</w:t>
      </w:r>
      <w:r>
        <w:t xml:space="preserve"> </w:t>
      </w:r>
      <w:r>
        <w:t xml:space="preserve">AI Lab acknowledges in particular the contribution of Timpi</w:t>
      </w:r>
      <w:r>
        <w:t xml:space="preserve"> </w:t>
      </w:r>
      <w:r>
        <w:t xml:space="preserve">International Ltd, the New Zealand Founding Node Operator deploying from</w:t>
      </w:r>
      <w:r>
        <w:t xml:space="preserve"> </w:t>
      </w:r>
      <w:r>
        <w:t xml:space="preserve">Christchurch and represented in the Founding Node Operator Agreement by</w:t>
      </w:r>
      <w:r>
        <w:t xml:space="preserve"> </w:t>
      </w:r>
      <w:r>
        <w:t xml:space="preserve">Gareth Evans, Chief Executive Officer and Co-Founder.</w:t>
      </w:r>
    </w:p>
    <w:bookmarkEnd w:id="14"/>
    <w:bookmarkStart w:id="15" w:name="ai-trust-council-founding-members"/>
    <w:p>
      <w:pPr>
        <w:pStyle w:val="Heading2"/>
      </w:pPr>
      <w:r>
        <w:t xml:space="preserve">AI Trust Council Founding Members</w:t>
      </w:r>
    </w:p>
    <w:p>
      <w:pPr>
        <w:pStyle w:val="FirstParagraph"/>
      </w:pPr>
      <w:r>
        <w:t xml:space="preserve">The governance of the protocol during the Founding Period is</w:t>
      </w:r>
      <w:r>
        <w:t xml:space="preserve"> </w:t>
      </w:r>
      <w:r>
        <w:t xml:space="preserve">undertaken by the AI Trust Council, whose Founding Members are:</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Seat</w:t>
            </w:r>
          </w:p>
        </w:tc>
        <w:tc>
          <w:tcPr/>
          <w:p>
            <w:pPr>
              <w:pStyle w:val="Compact"/>
            </w:pPr>
            <w:r>
              <w:t xml:space="preserve">Member</w:t>
            </w:r>
          </w:p>
        </w:tc>
      </w:tr>
      <w:tr>
        <w:tc>
          <w:tcPr/>
          <w:p>
            <w:pPr>
              <w:pStyle w:val="Compact"/>
            </w:pPr>
            <w:r>
              <w:t xml:space="preserve">Founding Chair</w:t>
            </w:r>
          </w:p>
        </w:tc>
        <w:tc>
          <w:tcPr/>
          <w:p>
            <w:pPr>
              <w:pStyle w:val="Compact"/>
            </w:pPr>
            <w:r>
              <w:t xml:space="preserve">Joshua Baron</w:t>
            </w:r>
          </w:p>
        </w:tc>
      </w:tr>
      <w:tr>
        <w:tc>
          <w:tcPr/>
          <w:p>
            <w:pPr>
              <w:pStyle w:val="Compact"/>
            </w:pPr>
            <w:r>
              <w:t xml:space="preserve">Founder Seat</w:t>
            </w:r>
          </w:p>
        </w:tc>
        <w:tc>
          <w:tcPr/>
          <w:p>
            <w:pPr>
              <w:pStyle w:val="Compact"/>
            </w:pPr>
            <w:r>
              <w:t xml:space="preserve">Dinesh Mendhe</w:t>
            </w:r>
          </w:p>
        </w:tc>
      </w:tr>
      <w:tr>
        <w:tc>
          <w:tcPr/>
          <w:p>
            <w:pPr>
              <w:pStyle w:val="Compact"/>
            </w:pPr>
            <w:r>
              <w:t xml:space="preserve">Founding Member</w:t>
            </w:r>
          </w:p>
        </w:tc>
        <w:tc>
          <w:tcPr/>
          <w:p>
            <w:pPr>
              <w:pStyle w:val="Compact"/>
            </w:pPr>
            <w:r>
              <w:t xml:space="preserve">Ross Thorpe</w:t>
            </w:r>
          </w:p>
        </w:tc>
      </w:tr>
      <w:tr>
        <w:tc>
          <w:tcPr/>
          <w:p>
            <w:pPr>
              <w:pStyle w:val="Compact"/>
            </w:pPr>
            <w:r>
              <w:t xml:space="preserve">Founding Member</w:t>
            </w:r>
          </w:p>
        </w:tc>
        <w:tc>
          <w:tcPr/>
          <w:p>
            <w:pPr>
              <w:pStyle w:val="Compact"/>
            </w:pPr>
            <w:r>
              <w:t xml:space="preserve">Issa Nesheiwat</w:t>
            </w:r>
          </w:p>
        </w:tc>
      </w:tr>
      <w:tr>
        <w:tc>
          <w:tcPr/>
          <w:p>
            <w:pPr>
              <w:pStyle w:val="Compact"/>
            </w:pPr>
            <w:r>
              <w:t xml:space="preserve">Ex Officio Observer</w:t>
            </w:r>
          </w:p>
        </w:tc>
        <w:tc>
          <w:tcPr/>
          <w:p>
            <w:pPr>
              <w:pStyle w:val="Compact"/>
            </w:pPr>
            <w:r>
              <w:t xml:space="preserve">Dr. Sofia Martinez Gonzalez, in her capacity as President and Chief Executive Officer of The AI Lab Intelligence Unobscured, Inc.</w:t>
            </w:r>
          </w:p>
        </w:tc>
      </w:tr>
    </w:tbl>
    <w:p>
      <w:pPr>
        <w:pStyle w:val="BodyText"/>
      </w:pPr>
      <w:r>
        <w:t xml:space="preserve">Joshua Baron has accepted the responsibilities of the Founding Chair,</w:t>
      </w:r>
      <w:r>
        <w:t xml:space="preserve"> </w:t>
      </w:r>
      <w:r>
        <w:t xml:space="preserve">the position with the principal responsibility for the integrity of</w:t>
      </w:r>
      <w:r>
        <w:t xml:space="preserve"> </w:t>
      </w:r>
      <w:r>
        <w:t xml:space="preserve">Council proceedings during the Founding Period. Ross Thorpe and Issa</w:t>
      </w:r>
      <w:r>
        <w:t xml:space="preserve"> </w:t>
      </w:r>
      <w:r>
        <w:t xml:space="preserve">Nesheiwat have accepted the responsibilities of independent Founding</w:t>
      </w:r>
      <w:r>
        <w:t xml:space="preserve"> </w:t>
      </w:r>
      <w:r>
        <w:t xml:space="preserve">Members. Each has agreed to serve on the conditions set out in the</w:t>
      </w:r>
      <w:r>
        <w:t xml:space="preserve"> </w:t>
      </w:r>
      <w:r>
        <w:t xml:space="preserve">Charter, including the conflict disclosure, recusal, and transparency</w:t>
      </w:r>
      <w:r>
        <w:t xml:space="preserve"> </w:t>
      </w:r>
      <w:r>
        <w:t xml:space="preserve">requirements.</w:t>
      </w:r>
    </w:p>
    <w:bookmarkEnd w:id="15"/>
    <w:bookmarkStart w:id="16" w:name="members-joining-the-council"/>
    <w:p>
      <w:pPr>
        <w:pStyle w:val="Heading2"/>
      </w:pPr>
      <w:r>
        <w:t xml:space="preserve">Members joining the Council</w:t>
      </w:r>
    </w:p>
    <w:p>
      <w:pPr>
        <w:pStyle w:val="FirstParagraph"/>
      </w:pPr>
      <w:r>
        <w:t xml:space="preserve">The Council is further joined, with accession in process during the</w:t>
      </w:r>
      <w:r>
        <w:t xml:space="preserve"> </w:t>
      </w:r>
      <w:r>
        <w:t xml:space="preserve">Pre-Genesis Period, by the following Members whose seats take effect on</w:t>
      </w:r>
      <w:r>
        <w:t xml:space="preserve"> </w:t>
      </w:r>
      <w:r>
        <w:t xml:space="preserve">confirmation in accordance with the Charter:</w:t>
      </w:r>
    </w:p>
    <w:p>
      <w:pPr>
        <w:pStyle w:val="Compact"/>
        <w:numPr>
          <w:ilvl w:val="0"/>
          <w:numId w:val="1001"/>
        </w:numPr>
      </w:pPr>
      <w:r>
        <w:t xml:space="preserve">Christopher Stott, Executive Chair, Lonestar Data Holdings Inc.,</w:t>
      </w:r>
      <w:r>
        <w:t xml:space="preserve"> </w:t>
      </w:r>
      <w:r>
        <w:t xml:space="preserve">United States.</w:t>
      </w:r>
    </w:p>
    <w:p>
      <w:pPr>
        <w:pStyle w:val="Compact"/>
        <w:numPr>
          <w:ilvl w:val="0"/>
          <w:numId w:val="1001"/>
        </w:numPr>
      </w:pPr>
      <w:r>
        <w:t xml:space="preserve">Gareth Evans, Chief Executive Officer and Co-Founder, Timpi,</w:t>
      </w:r>
      <w:r>
        <w:t xml:space="preserve"> </w:t>
      </w:r>
      <w:r>
        <w:t xml:space="preserve">Auckland, New Zealand.</w:t>
      </w:r>
    </w:p>
    <w:p>
      <w:pPr>
        <w:pStyle w:val="Compact"/>
        <w:numPr>
          <w:ilvl w:val="0"/>
          <w:numId w:val="1001"/>
        </w:numPr>
      </w:pPr>
      <w:r>
        <w:t xml:space="preserve">Dr. Vladimer Kobayashi, PhD, Professor, University of the Philippines</w:t>
      </w:r>
      <w:r>
        <w:t xml:space="preserve"> </w:t>
      </w:r>
      <w:r>
        <w:t xml:space="preserve">Mindanao, Philippines.</w:t>
      </w:r>
    </w:p>
    <w:p>
      <w:pPr>
        <w:pStyle w:val="Compact"/>
        <w:numPr>
          <w:ilvl w:val="0"/>
          <w:numId w:val="1001"/>
        </w:numPr>
      </w:pPr>
      <w:r>
        <w:t xml:space="preserve">Benjamin Wild, Founder and Chief Doodler, Ben Wild Studios, Sale,</w:t>
      </w:r>
      <w:r>
        <w:t xml:space="preserve"> </w:t>
      </w:r>
      <w:r>
        <w:t xml:space="preserve">England, United Kingdom.</w:t>
      </w:r>
    </w:p>
    <w:p>
      <w:pPr>
        <w:pStyle w:val="Compact"/>
        <w:numPr>
          <w:ilvl w:val="0"/>
          <w:numId w:val="1001"/>
        </w:numPr>
      </w:pPr>
      <w:r>
        <w:t xml:space="preserve">Kathleen Hom, American Bar Association Cybersecurity Legal Task</w:t>
      </w:r>
      <w:r>
        <w:t xml:space="preserve"> </w:t>
      </w:r>
      <w:r>
        <w:t xml:space="preserve">Force; practice in AI and cybersecurity law, United States.</w:t>
      </w:r>
    </w:p>
    <w:p>
      <w:pPr>
        <w:pStyle w:val="Compact"/>
        <w:numPr>
          <w:ilvl w:val="0"/>
          <w:numId w:val="1001"/>
        </w:numPr>
      </w:pPr>
      <w:r>
        <w:t xml:space="preserve">Ram Waman Ghonmode, Chief Business Officer, The AI Lab</w:t>
      </w:r>
      <w:r>
        <w:t xml:space="preserve"> </w:t>
      </w:r>
      <w:r>
        <w:t xml:space="preserve">Intelligence Unobscured, Inc., India (Member with declared interest</w:t>
      </w:r>
      <w:r>
        <w:t xml:space="preserve"> </w:t>
      </w:r>
      <w:r>
        <w:t xml:space="preserve">and defined recusal scope).</w:t>
      </w:r>
    </w:p>
    <w:p>
      <w:pPr>
        <w:pStyle w:val="FirstParagraph"/>
      </w:pPr>
      <w:r>
        <w:t xml:space="preserve">The AI Lab acknowledges the willingness of each of the foregoing to</w:t>
      </w:r>
      <w:r>
        <w:t xml:space="preserve"> </w:t>
      </w:r>
      <w:r>
        <w:t xml:space="preserve">lend institutional credibility, sectoral expertise, and geographic</w:t>
      </w:r>
      <w:r>
        <w:t xml:space="preserve"> </w:t>
      </w:r>
      <w:r>
        <w:t xml:space="preserve">representation to the Council during the Founding Period and into the</w:t>
      </w:r>
      <w:r>
        <w:t xml:space="preserve"> </w:t>
      </w:r>
      <w:r>
        <w:t xml:space="preserve">Network Period.</w:t>
      </w:r>
    </w:p>
    <w:p>
      <w:pPr>
        <w:pStyle w:val="BodyText"/>
      </w:pPr>
      <w:r>
        <w:t xml:space="preserve">The roster presented above reflects the cohort in accession as of</w:t>
      </w:r>
      <w:r>
        <w:t xml:space="preserve"> </w:t>
      </w:r>
      <w:r>
        <w:t xml:space="preserve">the publication date of this whitepaper. It is the operational seat</w:t>
      </w:r>
      <w:r>
        <w:t xml:space="preserve"> </w:t>
      </w:r>
      <w:r>
        <w:t xml:space="preserve">from which the Council expands, not its intended ceiling. The Charter</w:t>
      </w:r>
      <w:r>
        <w:t xml:space="preserve"> </w:t>
      </w:r>
      <w:r>
        <w:t xml:space="preserve">contemplates further Independent Members, Constituency</w:t>
      </w:r>
      <w:r>
        <w:t xml:space="preserve"> </w:t>
      </w:r>
      <w:r>
        <w:t xml:space="preserve">Representatives, and Joining Members across the constituencies the</w:t>
      </w:r>
      <w:r>
        <w:t xml:space="preserve"> </w:t>
      </w:r>
      <w:r>
        <w:t xml:space="preserve">protocol serves: journalism, civil society, publishing, education,</w:t>
      </w:r>
      <w:r>
        <w:t xml:space="preserve"> </w:t>
      </w:r>
      <w:r>
        <w:t xml:space="preserve">information security, public-sector technology, regulatory liaison,</w:t>
      </w:r>
      <w:r>
        <w:t xml:space="preserve"> </w:t>
      </w:r>
      <w:r>
        <w:t xml:space="preserve">academia, and standards organizations. The pace at which the Council</w:t>
      </w:r>
      <w:r>
        <w:t xml:space="preserve"> </w:t>
      </w:r>
      <w:r>
        <w:t xml:space="preserve">expands is set by the willingness of credible candidates to commit</w:t>
      </w:r>
      <w:r>
        <w:t xml:space="preserve"> </w:t>
      </w:r>
      <w:r>
        <w:t xml:space="preserve">to the independence covenants and recusal regime defined in the</w:t>
      </w:r>
      <w:r>
        <w:t xml:space="preserve"> </w:t>
      </w:r>
      <w:r>
        <w:t xml:space="preserve">Charter, and by the standing demand for the protocol the Council</w:t>
      </w:r>
      <w:r>
        <w:t xml:space="preserve"> </w:t>
      </w:r>
      <w:r>
        <w:t xml:space="preserve">stewards. In the thirty days preceding the publication of this whitepaper</w:t>
      </w:r>
      <w:r>
        <w:t xml:space="preserve"> </w:t>
      </w:r>
      <w:r>
        <w:t xml:space="preserve">(between mid-May 2026 and June 16, 2026), theailab.org recorded in</w:t>
      </w:r>
      <w:r>
        <w:t xml:space="preserve"> </w:t>
      </w:r>
      <w:r>
        <w:t xml:space="preserve">excess of four million page visits, and the supporting video</w:t>
      </w:r>
      <w:r>
        <w:t xml:space="preserve"> </w:t>
      </w:r>
      <w:r>
        <w:t xml:space="preserve">explainers recorded in excess of one million views on the YouTube</w:t>
      </w:r>
      <w:r>
        <w:t xml:space="preserve"> </w:t>
      </w:r>
      <w:r>
        <w:t xml:space="preserve">platform. The Council reports this empirical evidence of</w:t>
      </w:r>
      <w:r>
        <w:t xml:space="preserve"> </w:t>
      </w:r>
      <w:r>
        <w:t xml:space="preserve">stakeholder interest as the leading indicator of its capacity to</w:t>
      </w:r>
      <w:r>
        <w:t xml:space="preserve"> </w:t>
      </w:r>
      <w:r>
        <w:t xml:space="preserve">recruit and seat credible representation across the categories of</w:t>
      </w:r>
      <w:r>
        <w:t xml:space="preserve"> </w:t>
      </w:r>
      <w:r>
        <w:t xml:space="preserve">multi-stakeholder participation contemplated by Article 95 of the</w:t>
      </w:r>
      <w:r>
        <w:t xml:space="preserve"> </w:t>
      </w:r>
      <w:r>
        <w:t xml:space="preserve">EU AI Act. Updated figures are published on a continuing basis at</w:t>
      </w:r>
      <w:r>
        <w:t xml:space="preserve"> </w:t>
      </w:r>
      <w:r>
        <w:t xml:space="preserve">the public channels of The AI Lab and the AI Trust Council</w:t>
      </w:r>
      <w:r>
        <w:t xml:space="preserve"> </w:t>
      </w:r>
      <w:r>
        <w:t xml:space="preserve">identified in Executive Summary Section ES.7.</w:t>
      </w:r>
    </w:p>
    <w:bookmarkEnd w:id="16"/>
    <w:bookmarkStart w:id="17" w:name="ai-trust-advisory-board"/>
    <w:p>
      <w:pPr>
        <w:pStyle w:val="Heading2"/>
      </w:pPr>
      <w:r>
        <w:t xml:space="preserve">AI Trust Advisory Board</w:t>
      </w:r>
    </w:p>
    <w:p>
      <w:pPr>
        <w:pStyle w:val="FirstParagraph"/>
      </w:pPr>
      <w:r>
        <w:t xml:space="preserve">In addition to the Council itself, The AI Lab acknowledges the</w:t>
      </w:r>
      <w:r>
        <w:t xml:space="preserve"> </w:t>
      </w:r>
      <w:r>
        <w:t xml:space="preserve">contribution of the AI Trust Advisory Board, a body of subject-matter</w:t>
      </w:r>
      <w:r>
        <w:t xml:space="preserve"> </w:t>
      </w:r>
      <w:r>
        <w:t xml:space="preserve">advisors that provides consultative input to the Council on specific</w:t>
      </w:r>
      <w:r>
        <w:t xml:space="preserve"> </w:t>
      </w:r>
      <w:r>
        <w:t xml:space="preserve">workstreams (cryptography, journalism, public policy, education,</w:t>
      </w:r>
      <w:r>
        <w:t xml:space="preserve"> </w:t>
      </w:r>
      <w:r>
        <w:t xml:space="preserve">regulation, civil society) without holding a seat on the Council and</w:t>
      </w:r>
      <w:r>
        <w:t xml:space="preserve"> </w:t>
      </w:r>
      <w:r>
        <w:t xml:space="preserve">without directing protocol matters. Advisors are accountable to the</w:t>
      </w:r>
      <w:r>
        <w:t xml:space="preserve"> </w:t>
      </w:r>
      <w:r>
        <w:t xml:space="preserve">Council Chair and serve at the pleasure of the Council. The</w:t>
      </w:r>
      <w:r>
        <w:t xml:space="preserve"> </w:t>
      </w:r>
      <w:r>
        <w:t xml:space="preserve">constitution of the Advisory Board at the date of publication is:</w:t>
      </w:r>
    </w:p>
    <w:p>
      <w:pPr>
        <w:pStyle w:val="Compact"/>
        <w:numPr>
          <w:ilvl w:val="0"/>
          <w:numId w:val="1002"/>
        </w:numPr>
      </w:pPr>
      <w:r>
        <w:t xml:space="preserve">John DiVuolo, PMP, ITIL, CISSP, Director of Information Security,</w:t>
      </w:r>
      <w:r>
        <w:t xml:space="preserve"> </w:t>
      </w:r>
      <w:r>
        <w:t xml:space="preserve">Rutgers University, United States. Advisor on information security</w:t>
      </w:r>
      <w:r>
        <w:t xml:space="preserve"> </w:t>
      </w:r>
      <w:r>
        <w:t xml:space="preserve">and risk management.</w:t>
      </w:r>
    </w:p>
    <w:p>
      <w:pPr>
        <w:pStyle w:val="Compact"/>
        <w:numPr>
          <w:ilvl w:val="0"/>
          <w:numId w:val="1002"/>
        </w:numPr>
      </w:pPr>
      <w:r>
        <w:t xml:space="preserve">Dale Whittaker, Advisor and Principal Officer, US Education</w:t>
      </w:r>
      <w:r>
        <w:t xml:space="preserve"> </w:t>
      </w:r>
      <w:r>
        <w:t xml:space="preserve">Research and Development, Gates Foundation, United States. Advisor</w:t>
      </w:r>
      <w:r>
        <w:t xml:space="preserve"> </w:t>
      </w:r>
      <w:r>
        <w:t xml:space="preserve">on higher education, philanthropy, and equity-focused artificial</w:t>
      </w:r>
      <w:r>
        <w:t xml:space="preserve"> </w:t>
      </w:r>
      <w:r>
        <w:t xml:space="preserve">intelligence.</w:t>
      </w:r>
    </w:p>
    <w:p>
      <w:pPr>
        <w:pStyle w:val="Compact"/>
        <w:numPr>
          <w:ilvl w:val="0"/>
          <w:numId w:val="1002"/>
        </w:numPr>
      </w:pPr>
      <w:r>
        <w:t xml:space="preserve">Nate Angell, Founder, Nudgital, formerly Director of Communications</w:t>
      </w:r>
      <w:r>
        <w:t xml:space="preserve"> </w:t>
      </w:r>
      <w:r>
        <w:t xml:space="preserve">and Community at Creative Commons and Director of Marketing at</w:t>
      </w:r>
      <w:r>
        <w:t xml:space="preserve"> </w:t>
      </w:r>
      <w:r>
        <w:t xml:space="preserve">Hypothesis, Portland, Oregon, United States. Advisor on open</w:t>
      </w:r>
      <w:r>
        <w:t xml:space="preserve"> </w:t>
      </w:r>
      <w:r>
        <w:t xml:space="preserve">knowledge, community, and adoption.</w:t>
      </w:r>
    </w:p>
    <w:p>
      <w:pPr>
        <w:pStyle w:val="Compact"/>
        <w:numPr>
          <w:ilvl w:val="0"/>
          <w:numId w:val="1002"/>
        </w:numPr>
      </w:pPr>
      <w:r>
        <w:t xml:space="preserve">Ajit Dharmik, Director, 6Simplex Software Solutions Pvt Ltd, India.</w:t>
      </w:r>
      <w:r>
        <w:t xml:space="preserve"> </w:t>
      </w:r>
      <w:r>
        <w:t xml:space="preserve">Advisor on software engineering, deployment infrastructure, and</w:t>
      </w:r>
      <w:r>
        <w:t xml:space="preserve"> </w:t>
      </w:r>
      <w:r>
        <w:t xml:space="preserve">the operational realities of running a Founding Node from the</w:t>
      </w:r>
      <w:r>
        <w:t xml:space="preserve"> </w:t>
      </w:r>
      <w:r>
        <w:t xml:space="preserve">Indian jurisdiction.</w:t>
      </w:r>
    </w:p>
    <w:p>
      <w:pPr>
        <w:pStyle w:val="FirstParagraph"/>
      </w:pPr>
      <w:r>
        <w:t xml:space="preserve">The Advisory Board complements the Council by carrying domain expertise</w:t>
      </w:r>
      <w:r>
        <w:t xml:space="preserve"> </w:t>
      </w:r>
      <w:r>
        <w:t xml:space="preserve">to deliberations without diluting the Council’s decision rights, and</w:t>
      </w:r>
      <w:r>
        <w:t xml:space="preserve"> </w:t>
      </w:r>
      <w:r>
        <w:t xml:space="preserve">by providing a continuing source of independent technical and</w:t>
      </w:r>
      <w:r>
        <w:t xml:space="preserve"> </w:t>
      </w:r>
      <w:r>
        <w:t xml:space="preserve">institutional input across the Founding Period and into the Network</w:t>
      </w:r>
      <w:r>
        <w:t xml:space="preserve"> </w:t>
      </w:r>
      <w:r>
        <w:t xml:space="preserve">Period.</w:t>
      </w:r>
    </w:p>
    <w:bookmarkEnd w:id="17"/>
    <w:bookmarkStart w:id="18" w:name="ai-trust-ambassadors"/>
    <w:p>
      <w:pPr>
        <w:pStyle w:val="Heading2"/>
      </w:pPr>
      <w:r>
        <w:t xml:space="preserve">AI Trust Ambassadors</w:t>
      </w:r>
    </w:p>
    <w:p>
      <w:pPr>
        <w:pStyle w:val="FirstParagraph"/>
      </w:pPr>
      <w:r>
        <w:t xml:space="preserve">The AI Lab further acknowledges the AI Trust Ambassadors, a</w:t>
      </w:r>
      <w:r>
        <w:t xml:space="preserve"> </w:t>
      </w:r>
      <w:r>
        <w:t xml:space="preserve">public-advocacy body composed of individuals who carry the mission of</w:t>
      </w:r>
      <w:r>
        <w:t xml:space="preserve"> </w:t>
      </w:r>
      <w:r>
        <w:t xml:space="preserve">the Trust Identity Protocol into the communities, regions, industries,</w:t>
      </w:r>
      <w:r>
        <w:t xml:space="preserve"> </w:t>
      </w:r>
      <w:r>
        <w:t xml:space="preserve">and disciplines they serve. Ambassadors are not Members of the</w:t>
      </w:r>
      <w:r>
        <w:t xml:space="preserve"> </w:t>
      </w:r>
      <w:r>
        <w:t xml:space="preserve">Council and do not steward the protocol; their role is outward-facing</w:t>
      </w:r>
      <w:r>
        <w:t xml:space="preserve"> </w:t>
      </w:r>
      <w:r>
        <w:t xml:space="preserve">advocacy in conversations with creators, institutions, regulators, and</w:t>
      </w:r>
      <w:r>
        <w:t xml:space="preserve"> </w:t>
      </w:r>
      <w:r>
        <w:t xml:space="preserve">platforms around the world. The Ambassador roster is established</w:t>
      </w:r>
      <w:r>
        <w:t xml:space="preserve"> </w:t>
      </w:r>
      <w:r>
        <w:t xml:space="preserve">through nomination, review, and confirmation procedures defined in the</w:t>
      </w:r>
      <w:r>
        <w:t xml:space="preserve"> </w:t>
      </w:r>
      <w:r>
        <w:t xml:space="preserve">Charter, and is expected to be populated during the Pre-Genesis Period</w:t>
      </w:r>
      <w:r>
        <w:t xml:space="preserve"> </w:t>
      </w:r>
      <w:r>
        <w:t xml:space="preserve">and the early Founding Period as the public surface of the protocol</w:t>
      </w:r>
      <w:r>
        <w:t xml:space="preserve"> </w:t>
      </w:r>
      <w:r>
        <w:t xml:space="preserve">matures. The volume of inbound interest in the protocol since the</w:t>
      </w:r>
      <w:r>
        <w:t xml:space="preserve"> </w:t>
      </w:r>
      <w:r>
        <w:t xml:space="preserve">public launch, recorded in excess of four million page visits to</w:t>
      </w:r>
      <w:r>
        <w:t xml:space="preserve"> </w:t>
      </w:r>
      <w:r>
        <w:t xml:space="preserve">theailab.org and in excess of one million YouTube views of</w:t>
      </w:r>
      <w:r>
        <w:t xml:space="preserve"> </w:t>
      </w:r>
      <w:r>
        <w:t xml:space="preserve">supporting explainers in the thirty days preceding the publication</w:t>
      </w:r>
      <w:r>
        <w:t xml:space="preserve"> </w:t>
      </w:r>
      <w:r>
        <w:t xml:space="preserve">of this whitepaper, is the leading indicator of how rapidly the</w:t>
      </w:r>
      <w:r>
        <w:t xml:space="preserve"> </w:t>
      </w:r>
      <w:r>
        <w:t xml:space="preserve">Ambassador roster can be populated with credible regional and</w:t>
      </w:r>
      <w:r>
        <w:t xml:space="preserve"> </w:t>
      </w:r>
      <w:r>
        <w:t xml:space="preserve">industry champions.</w:t>
      </w:r>
    </w:p>
    <w:bookmarkEnd w:id="18"/>
    <w:bookmarkStart w:id="19" w:name="counsel"/>
    <w:p>
      <w:pPr>
        <w:pStyle w:val="Heading2"/>
      </w:pPr>
      <w:r>
        <w:t xml:space="preserve">Counsel</w:t>
      </w:r>
    </w:p>
    <w:p>
      <w:pPr>
        <w:pStyle w:val="FirstParagraph"/>
      </w:pPr>
      <w:r>
        <w:t xml:space="preserve">The drafting of the canonical TIP Protocol Specification v5.0, of</w:t>
      </w:r>
      <w:r>
        <w:t xml:space="preserve"> </w:t>
      </w:r>
      <w:r>
        <w:t xml:space="preserve">this whitepaper, of the Founding Node Operator Agreement, of the</w:t>
      </w:r>
      <w:r>
        <w:t xml:space="preserve"> </w:t>
      </w:r>
      <w:r>
        <w:t xml:space="preserve">Verification Provider accreditation agreement, of the Service Level</w:t>
      </w:r>
      <w:r>
        <w:t xml:space="preserve"> </w:t>
      </w:r>
      <w:r>
        <w:t xml:space="preserve">Agreement, of the Technical Requirements Specification, of TIPCL-1.0, of</w:t>
      </w:r>
      <w:r>
        <w:t xml:space="preserve"> </w:t>
      </w:r>
      <w:r>
        <w:t xml:space="preserve">the AI Trust Council Charter, of the Trademark Usage Policy, and of the</w:t>
      </w:r>
      <w:r>
        <w:t xml:space="preserve"> </w:t>
      </w:r>
      <w:r>
        <w:t xml:space="preserve">United States Copyright Office and United States Patent and Trademark</w:t>
      </w:r>
      <w:r>
        <w:t xml:space="preserve"> </w:t>
      </w:r>
      <w:r>
        <w:t xml:space="preserve">Office filings was undertaken under the direction of The AI Lab’s</w:t>
      </w:r>
      <w:r>
        <w:t xml:space="preserve"> </w:t>
      </w:r>
      <w:r>
        <w:t xml:space="preserve">Founder and Chairman. The AI Lab acknowledges, with gratitude, the legal</w:t>
      </w:r>
      <w:r>
        <w:t xml:space="preserve"> </w:t>
      </w:r>
      <w:r>
        <w:t xml:space="preserve">review afforded to the documents by counsel in the United States, the</w:t>
      </w:r>
      <w:r>
        <w:t xml:space="preserve"> </w:t>
      </w:r>
      <w:r>
        <w:t xml:space="preserve">United Kingdom, India, New Zealand, and other jurisdictions in which the</w:t>
      </w:r>
      <w:r>
        <w:t xml:space="preserve"> </w:t>
      </w:r>
      <w:r>
        <w:t xml:space="preserve">protocol operates or will operate.</w:t>
      </w:r>
    </w:p>
    <w:bookmarkEnd w:id="19"/>
    <w:bookmarkStart w:id="20" w:name="X045255df25102234be5216465b5783be4b81e21"/>
    <w:p>
      <w:pPr>
        <w:pStyle w:val="Heading2"/>
      </w:pPr>
      <w:r>
        <w:t xml:space="preserve">Standards organizations and supervisory authorities</w:t>
      </w:r>
    </w:p>
    <w:p>
      <w:pPr>
        <w:pStyle w:val="FirstParagraph"/>
      </w:pPr>
      <w:r>
        <w:t xml:space="preserve">The AI Lab acknowledges, with respect for the public function of each</w:t>
      </w:r>
      <w:r>
        <w:t xml:space="preserve"> </w:t>
      </w:r>
      <w:r>
        <w:t xml:space="preserve">engaging body, the published standards of the National Institute of</w:t>
      </w:r>
      <w:r>
        <w:t xml:space="preserve"> </w:t>
      </w:r>
      <w:r>
        <w:t xml:space="preserve">Standards and Technology, the World Wide Web Consortium, the Internet</w:t>
      </w:r>
      <w:r>
        <w:t xml:space="preserve"> </w:t>
      </w:r>
      <w:r>
        <w:t xml:space="preserve">Engineering Task Force, the European Telecommunications Standards</w:t>
      </w:r>
      <w:r>
        <w:t xml:space="preserve"> </w:t>
      </w:r>
      <w:r>
        <w:t xml:space="preserve">Institute, the International Organization for Standardization Joint</w:t>
      </w:r>
      <w:r>
        <w:t xml:space="preserve"> </w:t>
      </w:r>
      <w:r>
        <w:t xml:space="preserve">Technical Committee 1 Subcommittee 27, the FIDO Alliance, and the</w:t>
      </w:r>
      <w:r>
        <w:t xml:space="preserve"> </w:t>
      </w:r>
      <w:r>
        <w:t xml:space="preserve">Coalition for Content Provenance and Authenticity, on each of which the</w:t>
      </w:r>
      <w:r>
        <w:t xml:space="preserve"> </w:t>
      </w:r>
      <w:r>
        <w:t xml:space="preserve">protocol relies. The AI Lab also acknowledges the regulatory frameworks</w:t>
      </w:r>
      <w:r>
        <w:t xml:space="preserve"> </w:t>
      </w:r>
      <w:r>
        <w:t xml:space="preserve">of the European Union, the United States, the United Kingdom, New</w:t>
      </w:r>
      <w:r>
        <w:t xml:space="preserve"> </w:t>
      </w:r>
      <w:r>
        <w:t xml:space="preserve">Zealand, India, and other jurisdictions identified in Part IX, against</w:t>
      </w:r>
      <w:r>
        <w:t xml:space="preserve"> </w:t>
      </w:r>
      <w:r>
        <w:t xml:space="preserve">which the protocol’s regulatory posture is designed.</w:t>
      </w:r>
    </w:p>
    <w:bookmarkEnd w:id="20"/>
    <w:bookmarkStart w:id="21" w:name="open-source-community"/>
    <w:p>
      <w:pPr>
        <w:pStyle w:val="Heading2"/>
      </w:pPr>
      <w:r>
        <w:t xml:space="preserve">Open source community</w:t>
      </w:r>
    </w:p>
    <w:p>
      <w:pPr>
        <w:pStyle w:val="FirstParagraph"/>
      </w:pPr>
      <w:r>
        <w:t xml:space="preserve">The reference implementations of the protocol depend on the open</w:t>
      </w:r>
      <w:r>
        <w:t xml:space="preserve"> </w:t>
      </w:r>
      <w:r>
        <w:t xml:space="preserve">source ecosystem and on the work of contributors to OpenSSL, BoringSSL,</w:t>
      </w:r>
      <w:r>
        <w:t xml:space="preserve"> </w:t>
      </w:r>
      <w:r>
        <w:t xml:space="preserve">AWS-LC, Mozilla NSS, Chromium, Mozilla Firefox, Apple WebKit, Node.js,</w:t>
      </w:r>
      <w:r>
        <w:t xml:space="preserve"> </w:t>
      </w:r>
      <w:r>
        <w:t xml:space="preserve">Python, Rust, Go, the LLVM project, and many other projects identified</w:t>
      </w:r>
      <w:r>
        <w:t xml:space="preserve"> </w:t>
      </w:r>
      <w:r>
        <w:t xml:space="preserve">in the Software Bill of Materials of each reference implementation. The</w:t>
      </w:r>
      <w:r>
        <w:t xml:space="preserve"> </w:t>
      </w:r>
      <w:r>
        <w:t xml:space="preserve">AI Lab acknowledges the open source community and is committed to its</w:t>
      </w:r>
      <w:r>
        <w:t xml:space="preserve"> </w:t>
      </w:r>
      <w:r>
        <w:t xml:space="preserve">support through the Free Tier of TIPCL-1.0 and through the Apache</w:t>
      </w:r>
      <w:r>
        <w:t xml:space="preserve"> </w:t>
      </w:r>
      <w:r>
        <w:t xml:space="preserve">License 2.0 conversion provision of TIPCL-1.0 Section 12.</w:t>
      </w:r>
    </w:p>
    <w:bookmarkEnd w:id="21"/>
    <w:bookmarkStart w:id="22" w:name="readers"/>
    <w:p>
      <w:pPr>
        <w:pStyle w:val="Heading2"/>
      </w:pPr>
      <w:r>
        <w:t xml:space="preserve">Readers</w:t>
      </w:r>
    </w:p>
    <w:p>
      <w:pPr>
        <w:pStyle w:val="FirstParagraph"/>
      </w:pPr>
      <w:r>
        <w:t xml:space="preserve">The protocol exists because readers, in the present state of digital</w:t>
      </w:r>
      <w:r>
        <w:t xml:space="preserve"> </w:t>
      </w:r>
      <w:r>
        <w:t xml:space="preserve">media, cannot reliably distinguish authentic from synthetic content, or</w:t>
      </w:r>
      <w:r>
        <w:t xml:space="preserve"> </w:t>
      </w:r>
      <w:r>
        <w:t xml:space="preserve">reliably identify the party responsible for either. The protocol is</w:t>
      </w:r>
      <w:r>
        <w:t xml:space="preserve"> </w:t>
      </w:r>
      <w:r>
        <w:t xml:space="preserve">offered as an instrument of the reader. The AI Lab acknowledges the</w:t>
      </w:r>
      <w:r>
        <w:t xml:space="preserve"> </w:t>
      </w:r>
      <w:r>
        <w:t xml:space="preserve">reader as the protocol’s principal beneficiary and as the audience to</w:t>
      </w:r>
      <w:r>
        <w:t xml:space="preserve"> </w:t>
      </w:r>
      <w:r>
        <w:t xml:space="preserve">whom the work is, in the end, addressed.</w:t>
      </w:r>
    </w:p>
    <w:p>
      <w:r>
        <w:pict>
          <v:rect style="width:0;height:1.5pt" o:hralign="center" o:hrstd="t" o:hr="t"/>
        </w:pict>
      </w:r>
    </w:p>
    <w:p>
      <w:pPr>
        <w:pStyle w:val="FirstParagraph"/>
      </w:pPr>
      <w:r>
        <w:t xml:space="preserve">The AI Lab Intelligence Unobscured, Inc. Wilmington, Delaware, United</w:t>
      </w:r>
      <w:r>
        <w:t xml:space="preserve"> </w:t>
      </w:r>
      <w:r>
        <w:t xml:space="preserve">States. June 2, 2026.</w:t>
      </w:r>
    </w:p>
    <w:bookmarkEnd w:id="22"/>
    <w:bookmarkEnd w:id="23"/>
    <w:bookmarkStart w:id="34" w:name="executive-summary"/>
    <w:p>
      <w:pPr>
        <w:pStyle w:val="Heading1"/>
      </w:pPr>
      <w:r>
        <w:t xml:space="preserve">Executive Summary</w:t>
      </w:r>
    </w:p>
    <w:p>
      <w:pPr>
        <w:pStyle w:val="FirstParagraph"/>
      </w:pPr>
      <w:r>
        <w:t xml:space="preserve">This whitepaper describes the Trust Identity Protocol™ (TIP), a</w:t>
      </w:r>
      <w:r>
        <w:t xml:space="preserve"> </w:t>
      </w:r>
      <w:r>
        <w:t xml:space="preserve">federated, post-quantum, cryptographically verifiable framework for</w:t>
      </w:r>
      <w:r>
        <w:t xml:space="preserve"> </w:t>
      </w:r>
      <w:r>
        <w:t xml:space="preserve">binding authenticated identities to authenticated content, published by</w:t>
      </w:r>
      <w:r>
        <w:t xml:space="preserve"> </w:t>
      </w:r>
      <w:r>
        <w:t xml:space="preserve">The AI Lab Intelligence Unobscured, Inc., a Delaware corporation, with</w:t>
      </w:r>
      <w:r>
        <w:t xml:space="preserve"> </w:t>
      </w:r>
      <w:r>
        <w:t xml:space="preserve">the support of the AI Trust Council, an independent multi-stakeholder</w:t>
      </w:r>
      <w:r>
        <w:t xml:space="preserve"> </w:t>
      </w:r>
      <w:r>
        <w:t xml:space="preserve">governance body. The federated network is scheduled to commence live</w:t>
      </w:r>
      <w:r>
        <w:t xml:space="preserve"> </w:t>
      </w:r>
      <w:r>
        <w:t xml:space="preserve">operation on the Genesis Date, a date in June 2026 to be determined by</w:t>
      </w:r>
      <w:r>
        <w:t xml:space="preserve"> </w:t>
      </w:r>
      <w:r>
        <w:t xml:space="preserve">the sole director of The AI Lab on the satisfaction of the Operational</w:t>
      </w:r>
      <w:r>
        <w:t xml:space="preserve"> </w:t>
      </w:r>
      <w:r>
        <w:t xml:space="preserve">Readiness Conditions described in Part XI and published not less than</w:t>
      </w:r>
      <w:r>
        <w:t xml:space="preserve"> </w:t>
      </w:r>
      <w:r>
        <w:t xml:space="preserve">three business days in advance. Seven Founding Node Operators in four</w:t>
      </w:r>
      <w:r>
        <w:t xml:space="preserve"> </w:t>
      </w:r>
      <w:r>
        <w:t xml:space="preserve">jurisdictions are contracted under signed Founding Node Operator</w:t>
      </w:r>
      <w:r>
        <w:t xml:space="preserve"> </w:t>
      </w:r>
      <w:r>
        <w:t xml:space="preserve">Agreements, and three further Founding Node Operators are in</w:t>
      </w:r>
      <w:r>
        <w:t xml:space="preserve"> </w:t>
      </w:r>
      <w:r>
        <w:t xml:space="preserve">accession, to operate nodes of the network from Genesis through the</w:t>
      </w:r>
      <w:r>
        <w:t xml:space="preserve"> </w:t>
      </w:r>
      <w:r>
        <w:t xml:space="preserve">Founding Period.</w:t>
      </w:r>
    </w:p>
    <w:bookmarkStart w:id="24" w:name="X44cbdb7e2868b72707fd23c79694e49276d49ef"/>
    <w:p>
      <w:pPr>
        <w:pStyle w:val="Heading2"/>
      </w:pPr>
      <w:r>
        <w:t xml:space="preserve">ES.1 The condition the protocol addresses</w:t>
      </w:r>
    </w:p>
    <w:p>
      <w:pPr>
        <w:pStyle w:val="FirstParagraph"/>
      </w:pPr>
      <w:r>
        <w:t xml:space="preserve">By 2026, the cost of producing synthetic audio, image, video, and</w:t>
      </w:r>
      <w:r>
        <w:t xml:space="preserve"> </w:t>
      </w:r>
      <w:r>
        <w:t xml:space="preserve">text content of a quality sufficient to deceive an attentive human</w:t>
      </w:r>
      <w:r>
        <w:t xml:space="preserve"> </w:t>
      </w:r>
      <w:r>
        <w:t xml:space="preserve">observer has fallen to a fraction of the cost of producing equivalent</w:t>
      </w:r>
      <w:r>
        <w:t xml:space="preserve"> </w:t>
      </w:r>
      <w:r>
        <w:t xml:space="preserve">content by traditional means. The consequences extend across journalism,</w:t>
      </w:r>
      <w:r>
        <w:t xml:space="preserve"> </w:t>
      </w:r>
      <w:r>
        <w:t xml:space="preserve">civic discourse, the administration of justice, financial markets, and</w:t>
      </w:r>
      <w:r>
        <w:t xml:space="preserve"> </w:t>
      </w:r>
      <w:r>
        <w:t xml:space="preserve">personal life. The principal responses available before the publication</w:t>
      </w:r>
      <w:r>
        <w:t xml:space="preserve"> </w:t>
      </w:r>
      <w:r>
        <w:t xml:space="preserve">of this whitepaper, including platform-controlled trust signals,</w:t>
      </w:r>
      <w:r>
        <w:t xml:space="preserve"> </w:t>
      </w:r>
      <w:r>
        <w:t xml:space="preserve">existing content provenance standards (C2PA and the Content Authenticity</w:t>
      </w:r>
      <w:r>
        <w:t xml:space="preserve"> </w:t>
      </w:r>
      <w:r>
        <w:t xml:space="preserve">Initiative), and synthetic content watermarking, are each valuable. None</w:t>
      </w:r>
      <w:r>
        <w:t xml:space="preserve"> </w:t>
      </w:r>
      <w:r>
        <w:t xml:space="preserve">resolves the structural problem of binding an authenticated identity to</w:t>
      </w:r>
      <w:r>
        <w:t xml:space="preserve"> </w:t>
      </w:r>
      <w:r>
        <w:t xml:space="preserve">an authenticated piece of content, recorded in a federated and</w:t>
      </w:r>
      <w:r>
        <w:t xml:space="preserve"> </w:t>
      </w:r>
      <w:r>
        <w:t xml:space="preserve">jurisdictionally portable manner that neither party may repudiate at a</w:t>
      </w:r>
      <w:r>
        <w:t xml:space="preserve"> </w:t>
      </w:r>
      <w:r>
        <w:t xml:space="preserve">later time, using cryptography designed for durability against the</w:t>
      </w:r>
      <w:r>
        <w:t xml:space="preserve"> </w:t>
      </w:r>
      <w:r>
        <w:t xml:space="preserve">cryptographic conditions of the next several decades.</w:t>
      </w:r>
    </w:p>
    <w:bookmarkEnd w:id="24"/>
    <w:bookmarkStart w:id="25" w:name="es.2-the-trust-identity-protocol"/>
    <w:p>
      <w:pPr>
        <w:pStyle w:val="Heading2"/>
      </w:pPr>
      <w:r>
        <w:t xml:space="preserve">ES.2 The Trust Identity Protocol</w:t>
      </w:r>
    </w:p>
    <w:p>
      <w:pPr>
        <w:pStyle w:val="FirstParagraph"/>
      </w:pPr>
      <w:r>
        <w:t xml:space="preserve">The protocol comprises three architectural layers.</w:t>
      </w:r>
    </w:p>
    <w:p>
      <w:pPr>
        <w:pStyle w:val="BodyText"/>
      </w:pPr>
      <w:r>
        <w:rPr>
          <w:b/>
          <w:bCs/>
        </w:rPr>
        <w:t xml:space="preserve">TIP-ID</w:t>
      </w:r>
      <w:r>
        <w:t xml:space="preserve"> </w:t>
      </w:r>
      <w:r>
        <w:t xml:space="preserve">is the identity layer. A Cryptographic Trust</w:t>
      </w:r>
      <w:r>
        <w:t xml:space="preserve"> </w:t>
      </w:r>
      <w:r>
        <w:t xml:space="preserve">Identity (CTID) is a pseudonymous identifier derived from a public</w:t>
      </w:r>
      <w:r>
        <w:t xml:space="preserve"> </w:t>
      </w:r>
      <w:r>
        <w:t xml:space="preserve">cryptographic key, issued by a Verification Provider accredited by the</w:t>
      </w:r>
      <w:r>
        <w:t xml:space="preserve"> </w:t>
      </w:r>
      <w:r>
        <w:t xml:space="preserve">AI Trust Council. The private key is generated, stored, and operated on</w:t>
      </w:r>
      <w:r>
        <w:t xml:space="preserve"> </w:t>
      </w:r>
      <w:r>
        <w:t xml:space="preserve">a WebAuthn resident key authenticator on the holder’s device, optionally</w:t>
      </w:r>
      <w:r>
        <w:t xml:space="preserve"> </w:t>
      </w:r>
      <w:r>
        <w:t xml:space="preserve">bound to the holder by a biometric verification gesture that does not</w:t>
      </w:r>
      <w:r>
        <w:t xml:space="preserve"> </w:t>
      </w:r>
      <w:r>
        <w:t xml:space="preserve">transmit biometric data to the Verification Provider. The CTID is</w:t>
      </w:r>
      <w:r>
        <w:t xml:space="preserve"> </w:t>
      </w:r>
      <w:r>
        <w:t xml:space="preserve">portable across platforms, surfaces, and jurisdictions.</w:t>
      </w:r>
    </w:p>
    <w:p>
      <w:pPr>
        <w:pStyle w:val="BodyText"/>
      </w:pPr>
      <w:r>
        <w:rPr>
          <w:b/>
          <w:bCs/>
        </w:rPr>
        <w:t xml:space="preserve">TIP-CONTENT</w:t>
      </w:r>
      <w:r>
        <w:t xml:space="preserve"> </w:t>
      </w:r>
      <w:r>
        <w:t xml:space="preserve">is the provenance layer. The Canonical</w:t>
      </w:r>
      <w:r>
        <w:t xml:space="preserve"> </w:t>
      </w:r>
      <w:r>
        <w:t xml:space="preserve">Normalization Algorithm Version 2.2 (CNA-2.2) produces a deterministic,</w:t>
      </w:r>
      <w:r>
        <w:t xml:space="preserve"> </w:t>
      </w:r>
      <w:r>
        <w:t xml:space="preserve">content-defined fingerprint of a unit of content (text, image, audio,</w:t>
      </w:r>
      <w:r>
        <w:t xml:space="preserve"> </w:t>
      </w:r>
      <w:r>
        <w:t xml:space="preserve">video, or composite). The fingerprint is signed by the holder of a CTID</w:t>
      </w:r>
      <w:r>
        <w:t xml:space="preserve"> </w:t>
      </w:r>
      <w:r>
        <w:t xml:space="preserve">using a post-quantum signature scheme, producing a TIP-CONTENT record.</w:t>
      </w:r>
      <w:r>
        <w:t xml:space="preserve"> </w:t>
      </w:r>
      <w:r>
        <w:t xml:space="preserve">The record carries an Origin Code (OH, AA, AG, MX) identifying the</w:t>
      </w:r>
      <w:r>
        <w:t xml:space="preserve"> </w:t>
      </w:r>
      <w:r>
        <w:t xml:space="preserve">provenance category of the content, supplying the machine-readable</w:t>
      </w:r>
      <w:r>
        <w:t xml:space="preserve"> </w:t>
      </w:r>
      <w:r>
        <w:t xml:space="preserve">marking contemplated by Article 50(2) of Regulation (EU) 2024/1689 (the</w:t>
      </w:r>
      <w:r>
        <w:t xml:space="preserve"> </w:t>
      </w:r>
      <w:r>
        <w:t xml:space="preserve">EU AI Act).</w:t>
      </w:r>
    </w:p>
    <w:p>
      <w:pPr>
        <w:pStyle w:val="BodyText"/>
      </w:pPr>
      <w:r>
        <w:rPr>
          <w:b/>
          <w:bCs/>
        </w:rPr>
        <w:t xml:space="preserve">TIP-TRUST</w:t>
      </w:r>
      <w:r>
        <w:t xml:space="preserve"> </w:t>
      </w:r>
      <w:r>
        <w:t xml:space="preserve">is the reputation layer. The Trust Score</w:t>
      </w:r>
      <w:r>
        <w:t xml:space="preserve"> </w:t>
      </w:r>
      <w:r>
        <w:t xml:space="preserve">is the aggregate of four sub-scores (Cryptographic, Behavioral,</w:t>
      </w:r>
      <w:r>
        <w:t xml:space="preserve"> </w:t>
      </w:r>
      <w:r>
        <w:t xml:space="preserve">Adjudicated, Network) computed by deterministic rules from the history</w:t>
      </w:r>
      <w:r>
        <w:t xml:space="preserve"> </w:t>
      </w:r>
      <w:r>
        <w:t xml:space="preserve">of events associated with a CTID and with the issuing Verification</w:t>
      </w:r>
      <w:r>
        <w:t xml:space="preserve"> </w:t>
      </w:r>
      <w:r>
        <w:t xml:space="preserve">Provider. Adverse adjudications and Blocking Items B1 through B6 reduce</w:t>
      </w:r>
      <w:r>
        <w:t xml:space="preserve"> </w:t>
      </w:r>
      <w:r>
        <w:t xml:space="preserve">the score. The reader-facing Global Seal of Trust supplies the</w:t>
      </w:r>
      <w:r>
        <w:t xml:space="preserve"> </w:t>
      </w:r>
      <w:r>
        <w:t xml:space="preserve">human-readable disclosure contemplated by Article 50(4) of the EU AI</w:t>
      </w:r>
      <w:r>
        <w:t xml:space="preserve"> </w:t>
      </w:r>
      <w:r>
        <w:t xml:space="preserve">Act.</w:t>
      </w:r>
    </w:p>
    <w:bookmarkEnd w:id="25"/>
    <w:bookmarkStart w:id="26" w:name="es.3-the-federated-network"/>
    <w:p>
      <w:pPr>
        <w:pStyle w:val="Heading2"/>
      </w:pPr>
      <w:r>
        <w:t xml:space="preserve">ES.3 The federated network</w:t>
      </w:r>
    </w:p>
    <w:p>
      <w:pPr>
        <w:pStyle w:val="FirstParagraph"/>
      </w:pPr>
      <w:r>
        <w:t xml:space="preserve">Signed events are recorded on an append-only directed acyclic graph</w:t>
      </w:r>
      <w:r>
        <w:t xml:space="preserve"> </w:t>
      </w:r>
      <w:r>
        <w:t xml:space="preserve">(DAG) maintained by a federation of Node Operators. The append-only</w:t>
      </w:r>
      <w:r>
        <w:t xml:space="preserve"> </w:t>
      </w:r>
      <w:r>
        <w:t xml:space="preserve">property supplies non-repudiation, auditability, and alignment with</w:t>
      </w:r>
      <w:r>
        <w:t xml:space="preserve"> </w:t>
      </w:r>
      <w:r>
        <w:t xml:space="preserve">regulatory expectations for the public record of disclosures. The graph</w:t>
      </w:r>
      <w:r>
        <w:t xml:space="preserve"> </w:t>
      </w:r>
      <w:r>
        <w:t xml:space="preserve">is replicated across Node Operators in multiple jurisdictions. The</w:t>
      </w:r>
      <w:r>
        <w:t xml:space="preserve"> </w:t>
      </w:r>
      <w:r>
        <w:t xml:space="preserve">Founding Node Operators, contracted as of the publication date of this</w:t>
      </w:r>
      <w:r>
        <w:t xml:space="preserve"> </w:t>
      </w:r>
      <w:r>
        <w:t xml:space="preserve">whitepaper, are: THE PRESCIENT PACHYDERM LTD (United Kingdom), AZLogics</w:t>
      </w:r>
      <w:r>
        <w:t xml:space="preserve"> </w:t>
      </w:r>
      <w:r>
        <w:t xml:space="preserve">Private Limited (India), Apex Modular Solutions LLC (United States),</w:t>
      </w:r>
      <w:r>
        <w:t xml:space="preserve"> </w:t>
      </w:r>
      <w:r>
        <w:t xml:space="preserve">Timpi International Ltd (New Zealand), Lonestar Data Holdings</w:t>
      </w:r>
      <w:r>
        <w:t xml:space="preserve"> </w:t>
      </w:r>
      <w:r>
        <w:t xml:space="preserve">Inc. (United States), and The AI Lab Intelligence Unobscured, Inc.</w:t>
      </w:r>
      <w:r>
        <w:t xml:space="preserve"> </w:t>
      </w:r>
      <w:r>
        <w:t xml:space="preserve">(United States, theailab.org).</w:t>
      </w:r>
    </w:p>
    <w:p>
      <w:pPr>
        <w:pStyle w:val="BodyText"/>
      </w:pPr>
      <w:r>
        <w:t xml:space="preserve">Identity issuance is performed by Verification Providers accredited</w:t>
      </w:r>
      <w:r>
        <w:t xml:space="preserve"> </w:t>
      </w:r>
      <w:r>
        <w:t xml:space="preserve">by the AI Trust Council. Verification Providers operate under an annual</w:t>
      </w:r>
      <w:r>
        <w:t xml:space="preserve"> </w:t>
      </w:r>
      <w:r>
        <w:t xml:space="preserve">fee, an annual independent audit, a published warrant canary, and a</w:t>
      </w:r>
      <w:r>
        <w:t xml:space="preserve"> </w:t>
      </w:r>
      <w:r>
        <w:t xml:space="preserve">jurisdiction declaration. The economic terms under which Verification</w:t>
      </w:r>
      <w:r>
        <w:t xml:space="preserve"> </w:t>
      </w:r>
      <w:r>
        <w:t xml:space="preserve">Providers will operate beyond the public-facing commitments are being</w:t>
      </w:r>
      <w:r>
        <w:t xml:space="preserve"> </w:t>
      </w:r>
      <w:r>
        <w:t xml:space="preserve">designed and are not part of the public launch of the protocol.</w:t>
      </w:r>
    </w:p>
    <w:bookmarkEnd w:id="26"/>
    <w:bookmarkStart w:id="27" w:name="es.4-governance-the-ai-trust-council"/>
    <w:p>
      <w:pPr>
        <w:pStyle w:val="Heading2"/>
      </w:pPr>
      <w:r>
        <w:t xml:space="preserve">ES.4 Governance, the AI Trust Council</w:t>
      </w:r>
    </w:p>
    <w:p>
      <w:pPr>
        <w:pStyle w:val="FirstParagraph"/>
      </w:pPr>
      <w:r>
        <w:t xml:space="preserve">The AI Trust Council is the independent multi-stakeholder body that</w:t>
      </w:r>
      <w:r>
        <w:t xml:space="preserve"> </w:t>
      </w:r>
      <w:r>
        <w:t xml:space="preserve">ratifies protocol amendments, accredits Verification Providers,</w:t>
      </w:r>
      <w:r>
        <w:t xml:space="preserve"> </w:t>
      </w:r>
      <w:r>
        <w:t xml:space="preserve">supervises the rules governing Trust Scores and Blocking Items, conducts</w:t>
      </w:r>
      <w:r>
        <w:t xml:space="preserve"> </w:t>
      </w:r>
      <w:r>
        <w:t xml:space="preserve">dispute appellate review, and engages with regulators and standards</w:t>
      </w:r>
      <w:r>
        <w:t xml:space="preserve"> </w:t>
      </w:r>
      <w:r>
        <w:t xml:space="preserve">organizations. The Council operates under a written Charter ratified by</w:t>
      </w:r>
      <w:r>
        <w:t xml:space="preserve"> </w:t>
      </w:r>
      <w:r>
        <w:t xml:space="preserve">the sole director of The AI Lab and published at</w:t>
      </w:r>
      <w:r>
        <w:t xml:space="preserve"> </w:t>
      </w:r>
      <w:r>
        <w:t xml:space="preserve">theailab.org/ai-trust-council. The Council’s Members are: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Seat</w:t>
            </w:r>
          </w:p>
        </w:tc>
        <w:tc>
          <w:tcPr/>
          <w:p>
            <w:pPr>
              <w:pStyle w:val="Compact"/>
            </w:pPr>
            <w:r>
              <w:t xml:space="preserve">Member</w:t>
            </w:r>
          </w:p>
        </w:tc>
        <w:tc>
          <w:tcPr/>
          <w:p>
            <w:pPr>
              <w:pStyle w:val="Compact"/>
            </w:pPr>
            <w:r>
              <w:t xml:space="preserve">Notes</w:t>
            </w:r>
          </w:p>
        </w:tc>
      </w:tr>
      <w:tr>
        <w:tc>
          <w:tcPr/>
          <w:p>
            <w:pPr>
              <w:pStyle w:val="Compact"/>
            </w:pPr>
            <w:r>
              <w:t xml:space="preserve">Founding Chair</w:t>
            </w:r>
          </w:p>
        </w:tc>
        <w:tc>
          <w:tcPr/>
          <w:p>
            <w:pPr>
              <w:pStyle w:val="Compact"/>
            </w:pPr>
            <w:r>
              <w:t xml:space="preserve">Joshua Baron</w:t>
            </w:r>
          </w:p>
        </w:tc>
        <w:tc>
          <w:tcPr/>
          <w:p>
            <w:pPr>
              <w:pStyle w:val="Compact"/>
            </w:pPr>
            <w:r>
              <w:t xml:space="preserve">Independent Member</w:t>
            </w:r>
          </w:p>
        </w:tc>
      </w:tr>
      <w:tr>
        <w:tc>
          <w:tcPr/>
          <w:p>
            <w:pPr>
              <w:pStyle w:val="Compact"/>
            </w:pPr>
            <w:r>
              <w:t xml:space="preserve">Founder Seat</w:t>
            </w:r>
          </w:p>
        </w:tc>
        <w:tc>
          <w:tcPr/>
          <w:p>
            <w:pPr>
              <w:pStyle w:val="Compact"/>
            </w:pPr>
            <w:r>
              <w:t xml:space="preserve">Dinesh Mendhe</w:t>
            </w:r>
          </w:p>
        </w:tc>
        <w:tc>
          <w:tcPr/>
          <w:p>
            <w:pPr>
              <w:pStyle w:val="Compact"/>
            </w:pPr>
            <w:r>
              <w:t xml:space="preserve">Founder and creator of the Trust Identity Protocol, the AI Trust Council, the AI Trust Registry, the AI Trust ID, and the Human Trust ID system; Member with declared interest and defined recusal scope</w:t>
            </w:r>
          </w:p>
        </w:tc>
      </w:tr>
      <w:tr>
        <w:tc>
          <w:tcPr/>
          <w:p>
            <w:pPr>
              <w:pStyle w:val="Compact"/>
            </w:pPr>
            <w:r>
              <w:t xml:space="preserve">Founding Member</w:t>
            </w:r>
          </w:p>
        </w:tc>
        <w:tc>
          <w:tcPr/>
          <w:p>
            <w:pPr>
              <w:pStyle w:val="Compact"/>
            </w:pPr>
            <w:r>
              <w:t xml:space="preserve">Ross Thorpe</w:t>
            </w:r>
          </w:p>
        </w:tc>
        <w:tc>
          <w:tcPr/>
          <w:p>
            <w:pPr>
              <w:pStyle w:val="Compact"/>
            </w:pPr>
            <w:r>
              <w:t xml:space="preserve">Independent Member</w:t>
            </w:r>
          </w:p>
        </w:tc>
      </w:tr>
      <w:tr>
        <w:tc>
          <w:tcPr/>
          <w:p>
            <w:pPr>
              <w:pStyle w:val="Compact"/>
            </w:pPr>
            <w:r>
              <w:t xml:space="preserve">Founding Member</w:t>
            </w:r>
          </w:p>
        </w:tc>
        <w:tc>
          <w:tcPr/>
          <w:p>
            <w:pPr>
              <w:pStyle w:val="Compact"/>
            </w:pPr>
            <w:r>
              <w:t xml:space="preserve">Issa Nesheiwat</w:t>
            </w:r>
          </w:p>
        </w:tc>
        <w:tc>
          <w:tcPr/>
          <w:p>
            <w:pPr>
              <w:pStyle w:val="Compact"/>
            </w:pPr>
            <w:r>
              <w:t xml:space="preserve">Independent Member</w:t>
            </w:r>
          </w:p>
        </w:tc>
      </w:tr>
      <w:tr>
        <w:tc>
          <w:tcPr/>
          <w:p>
            <w:pPr>
              <w:pStyle w:val="Compact"/>
            </w:pPr>
            <w:r>
              <w:t xml:space="preserve">Ex Officio Observer</w:t>
            </w:r>
          </w:p>
        </w:tc>
        <w:tc>
          <w:tcPr/>
          <w:p>
            <w:pPr>
              <w:pStyle w:val="Compact"/>
            </w:pPr>
            <w:r>
              <w:t xml:space="preserve">Chief Executive Officer of The AI Lab Intelligence Unobscured, Inc.</w:t>
            </w:r>
          </w:p>
        </w:tc>
        <w:tc>
          <w:tcPr/>
          <w:p>
            <w:pPr>
              <w:pStyle w:val="Compact"/>
            </w:pPr>
            <w:r>
              <w:t xml:space="preserve">Observer capacity</w:t>
            </w:r>
          </w:p>
        </w:tc>
      </w:tr>
    </w:tbl>
    <w:p>
      <w:pPr>
        <w:pStyle w:val="BodyText"/>
      </w:pPr>
      <w:r>
        <w:t xml:space="preserve">In addition, Joining Members are in accession during the Pre-Genesis</w:t>
      </w:r>
      <w:r>
        <w:t xml:space="preserve"> </w:t>
      </w:r>
      <w:r>
        <w:t xml:space="preserve">Period; their seats take effect on confirmation in accordance with</w:t>
      </w:r>
      <w:r>
        <w:t xml:space="preserve"> </w:t>
      </w:r>
      <w:r>
        <w:t xml:space="preserve">the Charter. The Founding Chair and the two independent Founding</w:t>
      </w:r>
      <w:r>
        <w:t xml:space="preserve"> </w:t>
      </w:r>
      <w:r>
        <w:t xml:space="preserve">Members are independent of The AI Lab. The Charter contains</w:t>
      </w:r>
      <w:r>
        <w:t xml:space="preserve"> </w:t>
      </w:r>
      <w:r>
        <w:t xml:space="preserve">independence covenants including a three-of-five constituency</w:t>
      </w:r>
      <w:r>
        <w:t xml:space="preserve"> </w:t>
      </w:r>
      <w:r>
        <w:t xml:space="preserve">supermajority threshold for protocol amendments, mandatory conflict</w:t>
      </w:r>
      <w:r>
        <w:t xml:space="preserve"> </w:t>
      </w:r>
      <w:r>
        <w:t xml:space="preserve">disclosure and recusal, transparent publication of minutes, an annual</w:t>
      </w:r>
      <w:r>
        <w:t xml:space="preserve"> </w:t>
      </w:r>
      <w:r>
        <w:t xml:space="preserve">transparency report, and a prohibition on instruction from The AI</w:t>
      </w:r>
      <w:r>
        <w:t xml:space="preserve"> </w:t>
      </w:r>
      <w:r>
        <w:t xml:space="preserve">Lab. The Council is structured to be the kind of multi-stakeholder</w:t>
      </w:r>
      <w:r>
        <w:t xml:space="preserve"> </w:t>
      </w:r>
      <w:r>
        <w:t xml:space="preserve">body contemplated by Article 95 of the EU AI Act.</w:t>
      </w:r>
    </w:p>
    <w:p>
      <w:pPr>
        <w:pStyle w:val="BodyText"/>
      </w:pPr>
      <w:r>
        <w:t xml:space="preserve">The Council membership presented above reflects the operational</w:t>
      </w:r>
      <w:r>
        <w:t xml:space="preserve"> </w:t>
      </w:r>
      <w:r>
        <w:t xml:space="preserve">cohort as of the publication date of this whitepaper. It is not</w:t>
      </w:r>
      <w:r>
        <w:t xml:space="preserve"> </w:t>
      </w:r>
      <w:r>
        <w:t xml:space="preserve">the intended ceiling. The Charter contemplates additional Independent</w:t>
      </w:r>
      <w:r>
        <w:t xml:space="preserve"> </w:t>
      </w:r>
      <w:r>
        <w:t xml:space="preserve">Members, Constituency Representatives, and Joining Members across</w:t>
      </w:r>
      <w:r>
        <w:t xml:space="preserve"> </w:t>
      </w:r>
      <w:r>
        <w:t xml:space="preserve">the constituencies the protocol serves: journalism, civil society,</w:t>
      </w:r>
      <w:r>
        <w:t xml:space="preserve"> </w:t>
      </w:r>
      <w:r>
        <w:t xml:space="preserve">publishing, education, information security, public-sector</w:t>
      </w:r>
      <w:r>
        <w:t xml:space="preserve"> </w:t>
      </w:r>
      <w:r>
        <w:t xml:space="preserve">technology, regulatory liaison, academia, and standards</w:t>
      </w:r>
      <w:r>
        <w:t xml:space="preserve"> </w:t>
      </w:r>
      <w:r>
        <w:t xml:space="preserve">organizations. Public reception of the protocol since its</w:t>
      </w:r>
      <w:r>
        <w:t xml:space="preserve"> </w:t>
      </w:r>
      <w:r>
        <w:t xml:space="preserve">announcement provides empirical evidence of the stakeholder</w:t>
      </w:r>
      <w:r>
        <w:t xml:space="preserve"> </w:t>
      </w:r>
      <w:r>
        <w:t xml:space="preserve">interest the Council is designed to integrate over time. In the</w:t>
      </w:r>
      <w:r>
        <w:t xml:space="preserve"> </w:t>
      </w:r>
      <w:r>
        <w:t xml:space="preserve">thirty days preceding the publication of this whitepaper (between</w:t>
      </w:r>
      <w:r>
        <w:t xml:space="preserve"> </w:t>
      </w:r>
      <w:r>
        <w:t xml:space="preserve">mid-May 2026 and June 16, 2026), theailab.org recorded in excess</w:t>
      </w:r>
      <w:r>
        <w:t xml:space="preserve"> </w:t>
      </w:r>
      <w:r>
        <w:t xml:space="preserve">of four million page visits, and the supporting video explainers</w:t>
      </w:r>
      <w:r>
        <w:t xml:space="preserve"> </w:t>
      </w:r>
      <w:r>
        <w:t xml:space="preserve">recorded in excess of one million views on the YouTube platform.</w:t>
      </w:r>
      <w:r>
        <w:t xml:space="preserve"> </w:t>
      </w:r>
      <w:r>
        <w:t xml:space="preserve">These figures are current at the date of publication; updated</w:t>
      </w:r>
      <w:r>
        <w:t xml:space="preserve"> </w:t>
      </w:r>
      <w:r>
        <w:t xml:space="preserve">figures are published on a continuing basis at the public channels</w:t>
      </w:r>
      <w:r>
        <w:t xml:space="preserve"> </w:t>
      </w:r>
      <w:r>
        <w:t xml:space="preserve">listed in Section ES.7. Membership growth is the intended trajectory of the</w:t>
      </w:r>
      <w:r>
        <w:t xml:space="preserve"> </w:t>
      </w:r>
      <w:r>
        <w:t xml:space="preserve">Council, and the breadth of inbound interest is the leading</w:t>
      </w:r>
      <w:r>
        <w:t xml:space="preserve"> </w:t>
      </w:r>
      <w:r>
        <w:t xml:space="preserve">indicator of how rapidly that trajectory can be populated with</w:t>
      </w:r>
      <w:r>
        <w:t xml:space="preserve"> </w:t>
      </w:r>
      <w:r>
        <w:t xml:space="preserve">credible representation across the categories of stakeholder</w:t>
      </w:r>
      <w:r>
        <w:t xml:space="preserve"> </w:t>
      </w:r>
      <w:r>
        <w:t xml:space="preserve">participation contemplated by Article 95(3) of the EU AI Act,</w:t>
      </w:r>
      <w:r>
        <w:t xml:space="preserve"> </w:t>
      </w:r>
      <w:r>
        <w:t xml:space="preserve">which provides that voluntary codes of conduct may be drawn up by</w:t>
      </w:r>
      <w:r>
        <w:t xml:space="preserve"> </w:t>
      </w:r>
      <w:r>
        <w:t xml:space="preserve">individual providers or deployers of AI systems or by organisations</w:t>
      </w:r>
      <w:r>
        <w:t xml:space="preserve"> </w:t>
      </w:r>
      <w:r>
        <w:t xml:space="preserve">representing them or by both, including with the involvement of any</w:t>
      </w:r>
      <w:r>
        <w:t xml:space="preserve"> </w:t>
      </w:r>
      <w:r>
        <w:t xml:space="preserve">interested stakeholders and their representative organisations,</w:t>
      </w:r>
      <w:r>
        <w:t xml:space="preserve"> </w:t>
      </w:r>
      <w:r>
        <w:t xml:space="preserve">including civil society organisations and academia.</w:t>
      </w:r>
    </w:p>
    <w:bookmarkEnd w:id="27"/>
    <w:bookmarkStart w:id="28" w:name="es.5-licensing"/>
    <w:p>
      <w:pPr>
        <w:pStyle w:val="Heading2"/>
      </w:pPr>
      <w:r>
        <w:t xml:space="preserve">ES.5 Licensing</w:t>
      </w:r>
    </w:p>
    <w:p>
      <w:pPr>
        <w:pStyle w:val="FirstParagraph"/>
      </w:pPr>
      <w:r>
        <w:t xml:space="preserve">The canonical TIP Protocol Specification is published under the</w:t>
      </w:r>
      <w:r>
        <w:t xml:space="preserve"> </w:t>
      </w:r>
      <w:r>
        <w:t xml:space="preserve">Creative Commons Attribution 4.0 International Public License (CC BY</w:t>
      </w:r>
      <w:r>
        <w:t xml:space="preserve"> </w:t>
      </w:r>
      <w:r>
        <w:t xml:space="preserve">4.0). Implementations are licensed under the TIP Protocol Code License</w:t>
      </w:r>
      <w:r>
        <w:t xml:space="preserve"> </w:t>
      </w:r>
      <w:r>
        <w:t xml:space="preserve">Version 1.0 (TIPCL-1.0). TIPCL-1.0 grants a no-fee Free Tier to (a)</w:t>
      </w:r>
      <w:r>
        <w:t xml:space="preserve"> </w:t>
      </w:r>
      <w:r>
        <w:t xml:space="preserve">individuals and small businesses with annual gross revenue below</w:t>
      </w:r>
      <w:r>
        <w:t xml:space="preserve"> </w:t>
      </w:r>
      <w:r>
        <w:t xml:space="preserve">US$100,000, (b) nonprofits, NGOs, and charities, (c) educational</w:t>
      </w:r>
      <w:r>
        <w:t xml:space="preserve"> </w:t>
      </w:r>
      <w:r>
        <w:t xml:space="preserve">institutions, (d) government entities, (e) journalism organizations for</w:t>
      </w:r>
      <w:r>
        <w:t xml:space="preserve"> </w:t>
      </w:r>
      <w:r>
        <w:t xml:space="preserve">editorial use, and (f) research and development within published</w:t>
      </w:r>
      <w:r>
        <w:t xml:space="preserve"> </w:t>
      </w:r>
      <w:r>
        <w:t xml:space="preserve">ceilings. Commercial Licenses for parties not eligible for the Free Tier</w:t>
      </w:r>
      <w:r>
        <w:t xml:space="preserve"> </w:t>
      </w:r>
      <w:r>
        <w:t xml:space="preserve">are issued on a uniform nine-tier schedule (Micro through Global) with</w:t>
      </w:r>
      <w:r>
        <w:t xml:space="preserve"> </w:t>
      </w:r>
      <w:r>
        <w:t xml:space="preserve">annual fees ranging from US$500 to US$550,000 depending on annual gross</w:t>
      </w:r>
      <w:r>
        <w:t xml:space="preserve"> </w:t>
      </w:r>
      <w:r>
        <w:t xml:space="preserve">revenue. The fee schedule is uniform across all licensees within each</w:t>
      </w:r>
      <w:r>
        <w:t xml:space="preserve"> </w:t>
      </w:r>
      <w:r>
        <w:t xml:space="preserve">tier, published in advance, and not negotiated on a per-licensee basis,</w:t>
      </w:r>
      <w:r>
        <w:t xml:space="preserve"> </w:t>
      </w:r>
      <w:r>
        <w:t xml:space="preserve">consistent with fair, reasonable, and non-discriminatory licensing</w:t>
      </w:r>
      <w:r>
        <w:t xml:space="preserve"> </w:t>
      </w:r>
      <w:r>
        <w:t xml:space="preserve">principles. TIPCL-1.0 contains a self-executing conversion to the Apache</w:t>
      </w:r>
      <w:r>
        <w:t xml:space="preserve"> </w:t>
      </w:r>
      <w:r>
        <w:t xml:space="preserve">License Version 2.0 on January 1, 2031.</w:t>
      </w:r>
    </w:p>
    <w:bookmarkEnd w:id="28"/>
    <w:bookmarkStart w:id="29" w:name="es.6-cryptographic-foundation"/>
    <w:p>
      <w:pPr>
        <w:pStyle w:val="Heading2"/>
      </w:pPr>
      <w:r>
        <w:t xml:space="preserve">ES.6 Cryptographic foundation</w:t>
      </w:r>
    </w:p>
    <w:p>
      <w:pPr>
        <w:pStyle w:val="FirstParagraph"/>
      </w:pPr>
      <w:r>
        <w:t xml:space="preserve">The protocol’s signature scheme is ML-DSA-65, specified by NIST FIPS</w:t>
      </w:r>
      <w:r>
        <w:t xml:space="preserve"> </w:t>
      </w:r>
      <w:r>
        <w:t xml:space="preserve">204. The protocol’s key encapsulation mechanism is ML-KEM-768, specified</w:t>
      </w:r>
      <w:r>
        <w:t xml:space="preserve"> </w:t>
      </w:r>
      <w:r>
        <w:t xml:space="preserve">by NIST FIPS 203. The protocol’s hash-based signature fallback for</w:t>
      </w:r>
      <w:r>
        <w:t xml:space="preserve"> </w:t>
      </w:r>
      <w:r>
        <w:t xml:space="preserve">long-term archival is SLH-DSA, specified by NIST FIPS 205. The selection</w:t>
      </w:r>
      <w:r>
        <w:t xml:space="preserve"> </w:t>
      </w:r>
      <w:r>
        <w:t xml:space="preserve">of NIST post-quantum primitives at the genesis of the protocol, rather</w:t>
      </w:r>
      <w:r>
        <w:t xml:space="preserve"> </w:t>
      </w:r>
      <w:r>
        <w:t xml:space="preserve">than as a future migration, is described in Part III.</w:t>
      </w:r>
    </w:p>
    <w:bookmarkEnd w:id="29"/>
    <w:bookmarkStart w:id="30" w:name="es.7-operational-status"/>
    <w:p>
      <w:pPr>
        <w:pStyle w:val="Heading2"/>
      </w:pPr>
      <w:r>
        <w:t xml:space="preserve">ES.7 Operational status</w:t>
      </w:r>
    </w:p>
    <w:p>
      <w:pPr>
        <w:pStyle w:val="FirstParagraph"/>
      </w:pPr>
      <w:r>
        <w:t xml:space="preserve">The protocol is in the Pre-Genesis Period commencing June 1, 2026 and</w:t>
      </w:r>
      <w:r>
        <w:t xml:space="preserve"> </w:t>
      </w:r>
      <w:r>
        <w:t xml:space="preserve">concluding on the Genesis Date. The Pre-Genesis Period is the pilot</w:t>
      </w:r>
      <w:r>
        <w:t xml:space="preserve"> </w:t>
      </w:r>
      <w:r>
        <w:t xml:space="preserve">phase of the protocol: Full Nodes are deployed and operated against</w:t>
      </w:r>
      <w:r>
        <w:t xml:space="preserve"> </w:t>
      </w:r>
      <w:r>
        <w:t xml:space="preserve">pilot data, and the protocol does not accept production traffic. The</w:t>
      </w:r>
      <w:r>
        <w:t xml:space="preserve"> </w:t>
      </w:r>
      <w:r>
        <w:t xml:space="preserve">protocol transitions from the pilot phase to live production</w:t>
      </w:r>
      <w:r>
        <w:t xml:space="preserve"> </w:t>
      </w:r>
      <w:r>
        <w:t xml:space="preserve">operation on the Genesis Date. As of the publication date of this</w:t>
      </w:r>
      <w:r>
        <w:t xml:space="preserve"> </w:t>
      </w:r>
      <w:r>
        <w:t xml:space="preserve">whitepaper, seven Founding Node Operators in four jurisdictions are</w:t>
      </w:r>
      <w:r>
        <w:t xml:space="preserve"> </w:t>
      </w:r>
      <w:r>
        <w:t xml:space="preserve">contracted under signed Founding Node Operator Agreements and standing</w:t>
      </w:r>
      <w:r>
        <w:t xml:space="preserve"> </w:t>
      </w:r>
      <w:r>
        <w:t xml:space="preserve">up Full Node deployments in pre-Genesis operating mode, and three</w:t>
      </w:r>
      <w:r>
        <w:t xml:space="preserve"> </w:t>
      </w:r>
      <w:r>
        <w:t xml:space="preserve">additional Founding Node Operators are in accession (Marist</w:t>
      </w:r>
      <w:r>
        <w:t xml:space="preserve"> </w:t>
      </w:r>
      <w:r>
        <w:t xml:space="preserve">University, Rutgers University, and The Core / BOOM FactCheck); the AI Trust</w:t>
      </w:r>
      <w:r>
        <w:t xml:space="preserve"> </w:t>
      </w:r>
      <w:r>
        <w:t xml:space="preserve">Council Charter has been ratified by the sole director of The AI Lab,</w:t>
      </w:r>
      <w:r>
        <w:t xml:space="preserve"> </w:t>
      </w:r>
      <w:r>
        <w:t xml:space="preserve">and the Council was convened on the third day of May, 2026; the canonical TIP Protocol Specification is</w:t>
      </w:r>
      <w:r>
        <w:t xml:space="preserve"> </w:t>
      </w:r>
      <w:r>
        <w:t xml:space="preserve">published on a public repository under United States Copyright Office</w:t>
      </w:r>
      <w:r>
        <w:t xml:space="preserve"> </w:t>
      </w:r>
      <w:r>
        <w:t xml:space="preserve">Application No. 1-15175755931 (pending); and the supporting reference</w:t>
      </w:r>
      <w:r>
        <w:t xml:space="preserve"> </w:t>
      </w:r>
      <w:r>
        <w:t xml:space="preserve">implementations (browser extension for Chrome, Firefox, Arc, and Safari;</w:t>
      </w:r>
      <w:r>
        <w:t xml:space="preserve"> </w:t>
      </w:r>
      <w:r>
        <w:t xml:space="preserve">the</w:t>
      </w:r>
      <w:r>
        <w:t xml:space="preserve"> </w:t>
      </w:r>
      <w:r>
        <w:rPr>
          <w:rStyle w:val="VerbatimChar"/>
        </w:rPr>
        <w:t xml:space="preserve">&lt;tip-badge&gt;</w:t>
      </w:r>
      <w:r>
        <w:t xml:space="preserve"> </w:t>
      </w:r>
      <w:r>
        <w:t xml:space="preserve">web component; the WordPress</w:t>
      </w:r>
      <w:r>
        <w:t xml:space="preserve"> </w:t>
      </w:r>
      <w:r>
        <w:t xml:space="preserve">reference plugin; the mobile web application) are deployed. The Genesis</w:t>
      </w:r>
      <w:r>
        <w:t xml:space="preserve"> </w:t>
      </w:r>
      <w:r>
        <w:t xml:space="preserve">Date is scheduled for June 2026 and will be published not less than</w:t>
      </w:r>
      <w:r>
        <w:t xml:space="preserve"> </w:t>
      </w:r>
      <w:r>
        <w:t xml:space="preserve">three business days in advance on theailab.org. In the thirty days</w:t>
      </w:r>
      <w:r>
        <w:t xml:space="preserve"> </w:t>
      </w:r>
      <w:r>
        <w:t xml:space="preserve">preceding the publication of this whitepaper (between mid-May 2026</w:t>
      </w:r>
      <w:r>
        <w:t xml:space="preserve"> </w:t>
      </w:r>
      <w:r>
        <w:t xml:space="preserve">and June 16, 2026), public reception of the protocol has provided</w:t>
      </w:r>
      <w:r>
        <w:t xml:space="preserve"> </w:t>
      </w:r>
      <w:r>
        <w:t xml:space="preserve">early operational evidence of standing demand: theailab.org</w:t>
      </w:r>
      <w:r>
        <w:t xml:space="preserve"> </w:t>
      </w:r>
      <w:r>
        <w:t xml:space="preserve">recorded in excess of four million page visits, and the supporting</w:t>
      </w:r>
      <w:r>
        <w:t xml:space="preserve"> </w:t>
      </w:r>
      <w:r>
        <w:t xml:space="preserve">video explainers recorded in excess of one million views on the</w:t>
      </w:r>
      <w:r>
        <w:t xml:space="preserve"> </w:t>
      </w:r>
      <w:r>
        <w:t xml:space="preserve">YouTube platform. These figures are reported as operational signal</w:t>
      </w:r>
      <w:r>
        <w:t xml:space="preserve"> </w:t>
      </w:r>
      <w:r>
        <w:t xml:space="preserve">of the protocol’s standing at the date of publication. Current</w:t>
      </w:r>
      <w:r>
        <w:t xml:space="preserve"> </w:t>
      </w:r>
      <w:r>
        <w:t xml:space="preserve">figures are published on a continuing basis at the public channels</w:t>
      </w:r>
      <w:r>
        <w:t xml:space="preserve"> </w:t>
      </w:r>
      <w:r>
        <w:t xml:space="preserve">listed below. The figures stated here will be presented with</w:t>
      </w:r>
      <w:r>
        <w:t xml:space="preserve"> </w:t>
      </w:r>
      <w:r>
        <w:t xml:space="preserve">methodology and time-period detail in the inaugural AI Trust</w:t>
      </w:r>
      <w:r>
        <w:t xml:space="preserve"> </w:t>
      </w:r>
      <w:r>
        <w:t xml:space="preserve">Council annual transparency report and in subsequent reports.</w:t>
      </w:r>
    </w:p>
    <w:p>
      <w:pPr>
        <w:pStyle w:val="BodyText"/>
      </w:pPr>
      <w:r>
        <w:t xml:space="preserve">The public channels at which the figures stated above can be</w:t>
      </w:r>
      <w:r>
        <w:t xml:space="preserve"> </w:t>
      </w:r>
      <w:r>
        <w:t xml:space="preserve">independently verified, and at which subsequent operational signal</w:t>
      </w:r>
      <w:r>
        <w:t xml:space="preserve"> </w:t>
      </w:r>
      <w:r>
        <w:t xml:space="preserve">is published in real time, are the canonical web property of The AI</w:t>
      </w:r>
      <w:r>
        <w:t xml:space="preserve"> </w:t>
      </w:r>
      <w:r>
        <w:t xml:space="preserve">Lab at theailab.org, The AI Lab on the YouTube platform at</w:t>
      </w:r>
      <w:r>
        <w:t xml:space="preserve"> </w:t>
      </w:r>
      <w:r>
        <w:t xml:space="preserve">youtube.com/</w:t>
      </w:r>
      <w:r>
        <w:t xml:space="preserve">@theailaborg</w:t>
      </w:r>
      <w:r>
        <w:t xml:space="preserve">, The AI Lab on the LinkedIn platform at</w:t>
      </w:r>
      <w:r>
        <w:t xml:space="preserve"> </w:t>
      </w:r>
      <w:r>
        <w:t xml:space="preserve">linkedin.com/company/the-ai-lab-org, and the AI Trust Council on</w:t>
      </w:r>
      <w:r>
        <w:t xml:space="preserve"> </w:t>
      </w:r>
      <w:r>
        <w:t xml:space="preserve">the LinkedIn platform at linkedin.com/company/ai-trust-council. The</w:t>
      </w:r>
      <w:r>
        <w:t xml:space="preserve"> </w:t>
      </w:r>
      <w:r>
        <w:t xml:space="preserve">maintenance of a public surface for the AI Trust Council distinct</w:t>
      </w:r>
      <w:r>
        <w:t xml:space="preserve"> </w:t>
      </w:r>
      <w:r>
        <w:t xml:space="preserve">from the public surface of The AI Lab reflects the independence of</w:t>
      </w:r>
      <w:r>
        <w:t xml:space="preserve"> </w:t>
      </w:r>
      <w:r>
        <w:t xml:space="preserve">the Council from any single applicant or operator and is consistent</w:t>
      </w:r>
      <w:r>
        <w:t xml:space="preserve"> </w:t>
      </w:r>
      <w:r>
        <w:t xml:space="preserve">with the multi-stakeholder body framing of Article 95 of the EU AI</w:t>
      </w:r>
      <w:r>
        <w:t xml:space="preserve"> </w:t>
      </w:r>
      <w:r>
        <w:t xml:space="preserve">Act. The audited record of these figures, and not the platform</w:t>
      </w:r>
      <w:r>
        <w:t xml:space="preserve"> </w:t>
      </w:r>
      <w:r>
        <w:t xml:space="preserve">metrics themselves, is the canonical evidence record of the AI</w:t>
      </w:r>
      <w:r>
        <w:t xml:space="preserve"> </w:t>
      </w:r>
      <w:r>
        <w:t xml:space="preserve">Trust Council.</w:t>
      </w:r>
    </w:p>
    <w:p>
      <w:pPr>
        <w:pStyle w:val="BodyText"/>
      </w:pPr>
      <w:r>
        <w:t xml:space="preserve">The roadmap described in Part XI sets</w:t>
      </w:r>
      <w:r>
        <w:t xml:space="preserve"> </w:t>
      </w:r>
      <w:r>
        <w:t xml:space="preserve">out the operational milestones planned for the 12-month, 24-month,</w:t>
      </w:r>
      <w:r>
        <w:t xml:space="preserve"> </w:t>
      </w:r>
      <w:r>
        <w:t xml:space="preserve">and 36-month horizons that follow Genesis.</w:t>
      </w:r>
    </w:p>
    <w:bookmarkEnd w:id="30"/>
    <w:bookmarkStart w:id="31" w:name="es.8-regulatory-posture"/>
    <w:p>
      <w:pPr>
        <w:pStyle w:val="Heading2"/>
      </w:pPr>
      <w:r>
        <w:t xml:space="preserve">ES.8 Regulatory posture</w:t>
      </w:r>
    </w:p>
    <w:p>
      <w:pPr>
        <w:pStyle w:val="FirstParagraph"/>
      </w:pPr>
      <w:r>
        <w:t xml:space="preserve">The protocol is not an “AI system” within the meaning of Article 3(1)</w:t>
      </w:r>
      <w:r>
        <w:t xml:space="preserve"> </w:t>
      </w:r>
      <w:r>
        <w:t xml:space="preserve">of the EU AI Act. The Trust Score is not a social scoring system within</w:t>
      </w:r>
      <w:r>
        <w:t xml:space="preserve"> </w:t>
      </w:r>
      <w:r>
        <w:t xml:space="preserve">the meaning of Article 5(1)(c) of that Act. The protocol is positioned</w:t>
      </w:r>
      <w:r>
        <w:t xml:space="preserve"> </w:t>
      </w:r>
      <w:r>
        <w:t xml:space="preserve">to supply the machine-readable marking required by Article 50(2) and the</w:t>
      </w:r>
      <w:r>
        <w:t xml:space="preserve"> </w:t>
      </w:r>
      <w:r>
        <w:t xml:space="preserve">human-readable disclosure contemplated by Article 50(4). The protocol is</w:t>
      </w:r>
      <w:r>
        <w:t xml:space="preserve"> </w:t>
      </w:r>
      <w:r>
        <w:t xml:space="preserve">designed to support compliance by Verification Providers and Node</w:t>
      </w:r>
      <w:r>
        <w:t xml:space="preserve"> </w:t>
      </w:r>
      <w:r>
        <w:t xml:space="preserve">Operators with the General Data Protection Regulation, the Digital</w:t>
      </w:r>
      <w:r>
        <w:t xml:space="preserve"> </w:t>
      </w:r>
      <w:r>
        <w:t xml:space="preserve">Services Act, eIDAS 2.0, the NIS2 Directive, the Cyber Resilience Act,</w:t>
      </w:r>
      <w:r>
        <w:t xml:space="preserve"> </w:t>
      </w:r>
      <w:r>
        <w:t xml:space="preserve">the Council of Europe Framework Convention on AI, the United Kingdom</w:t>
      </w:r>
      <w:r>
        <w:t xml:space="preserve"> </w:t>
      </w:r>
      <w:r>
        <w:t xml:space="preserve">Online Safety Act 2023, the New Zealand Privacy Act 2020, the Indian</w:t>
      </w:r>
      <w:r>
        <w:t xml:space="preserve"> </w:t>
      </w:r>
      <w:r>
        <w:t xml:space="preserve">Digital Personal Data Protection Act 2023, the United States Federal</w:t>
      </w:r>
      <w:r>
        <w:t xml:space="preserve"> </w:t>
      </w:r>
      <w:r>
        <w:t xml:space="preserve">Trade Commission Act Section 5, the NIST AI Risk Management Framework,</w:t>
      </w:r>
      <w:r>
        <w:t xml:space="preserve"> </w:t>
      </w:r>
      <w:r>
        <w:t xml:space="preserve">Executive Order 14110, and the state-law mosaic in the United States, in</w:t>
      </w:r>
      <w:r>
        <w:t xml:space="preserve"> </w:t>
      </w:r>
      <w:r>
        <w:t xml:space="preserve">each case to the extent applicable to the licensee’s use of the</w:t>
      </w:r>
      <w:r>
        <w:t xml:space="preserve"> </w:t>
      </w:r>
      <w:r>
        <w:t xml:space="preserve">protocol. Part IX describes the protocol’s alignment with each</w:t>
      </w:r>
      <w:r>
        <w:t xml:space="preserve"> </w:t>
      </w:r>
      <w:r>
        <w:t xml:space="preserve">instrument in detail.</w:t>
      </w:r>
    </w:p>
    <w:bookmarkEnd w:id="31"/>
    <w:bookmarkStart w:id="32" w:name="es.9-what-this-whitepaper-invites"/>
    <w:p>
      <w:pPr>
        <w:pStyle w:val="Heading2"/>
      </w:pPr>
      <w:r>
        <w:t xml:space="preserve">ES.9 What this whitepaper invites</w:t>
      </w:r>
    </w:p>
    <w:p>
      <w:pPr>
        <w:pStyle w:val="FirstParagraph"/>
      </w:pPr>
      <w:r>
        <w:t xml:space="preserve">The AI Lab and the AI Trust Council invite:</w:t>
      </w:r>
    </w:p>
    <w:p>
      <w:pPr>
        <w:numPr>
          <w:ilvl w:val="0"/>
          <w:numId w:val="1003"/>
        </w:numPr>
      </w:pPr>
      <w:r>
        <w:t xml:space="preserve">Regulators and supervisory authorities in the European Union, the</w:t>
      </w:r>
      <w:r>
        <w:t xml:space="preserve"> </w:t>
      </w:r>
      <w:r>
        <w:t xml:space="preserve">United States, the United Kingdom, New Zealand, India, and other</w:t>
      </w:r>
      <w:r>
        <w:t xml:space="preserve"> </w:t>
      </w:r>
      <w:r>
        <w:t xml:space="preserve">jurisdictions to engage with the AI Trust Council concerning the</w:t>
      </w:r>
      <w:r>
        <w:t xml:space="preserve"> </w:t>
      </w:r>
      <w:r>
        <w:t xml:space="preserve">conformance of the protocol with applicable law and the recognition of</w:t>
      </w:r>
      <w:r>
        <w:t xml:space="preserve"> </w:t>
      </w:r>
      <w:r>
        <w:t xml:space="preserve">the Council under voluntary code of conduct frameworks where</w:t>
      </w:r>
      <w:r>
        <w:t xml:space="preserve"> </w:t>
      </w:r>
      <w:r>
        <w:t xml:space="preserve">available.</w:t>
      </w:r>
    </w:p>
    <w:p>
      <w:pPr>
        <w:numPr>
          <w:ilvl w:val="0"/>
          <w:numId w:val="1003"/>
        </w:numPr>
      </w:pPr>
      <w:r>
        <w:t xml:space="preserve">Standards organizations including ISO/IEC JTC 1/SC 27, W3C, IETF,</w:t>
      </w:r>
      <w:r>
        <w:t xml:space="preserve"> </w:t>
      </w:r>
      <w:r>
        <w:t xml:space="preserve">ETSI, NIST, IPTC, and C2PA to engage with the AI Trust Council</w:t>
      </w:r>
      <w:r>
        <w:t xml:space="preserve"> </w:t>
      </w:r>
      <w:r>
        <w:t xml:space="preserve">concerning the development of international standards for content</w:t>
      </w:r>
      <w:r>
        <w:t xml:space="preserve"> </w:t>
      </w:r>
      <w:r>
        <w:t xml:space="preserve">provenance and verifiable identity infrastructure.</w:t>
      </w:r>
    </w:p>
    <w:p>
      <w:pPr>
        <w:numPr>
          <w:ilvl w:val="0"/>
          <w:numId w:val="1003"/>
        </w:numPr>
      </w:pPr>
      <w:r>
        <w:t xml:space="preserve">Publishers, journalism organizations, and platforms to deploy the</w:t>
      </w:r>
      <w:r>
        <w:t xml:space="preserve"> </w:t>
      </w:r>
      <w:r>
        <w:t xml:space="preserve">reference implementations and to publish content under TIP-CONTENT</w:t>
      </w:r>
      <w:r>
        <w:t xml:space="preserve"> </w:t>
      </w:r>
      <w:r>
        <w:t xml:space="preserve">records, supplying readers with verifiable provenance and identity</w:t>
      </w:r>
      <w:r>
        <w:t xml:space="preserve"> </w:t>
      </w:r>
      <w:r>
        <w:t xml:space="preserve">signals.</w:t>
      </w:r>
    </w:p>
    <w:p>
      <w:pPr>
        <w:numPr>
          <w:ilvl w:val="0"/>
          <w:numId w:val="1003"/>
        </w:numPr>
      </w:pPr>
      <w:r>
        <w:t xml:space="preserve">Prospective Verification Providers in jurisdictions not yet</w:t>
      </w:r>
      <w:r>
        <w:t xml:space="preserve"> </w:t>
      </w:r>
      <w:r>
        <w:t xml:space="preserve">represented in the Founding Period network to apply for accreditation</w:t>
      </w:r>
      <w:r>
        <w:t xml:space="preserve"> </w:t>
      </w:r>
      <w:r>
        <w:t xml:space="preserve">through the procedure published at</w:t>
      </w:r>
      <w:r>
        <w:t xml:space="preserve"> </w:t>
      </w:r>
      <w:r>
        <w:t xml:space="preserve">theailab.org/tip-verification-provider.</w:t>
      </w:r>
    </w:p>
    <w:p>
      <w:pPr>
        <w:numPr>
          <w:ilvl w:val="0"/>
          <w:numId w:val="1003"/>
        </w:numPr>
      </w:pPr>
      <w:r>
        <w:t xml:space="preserve">Prospective Founding Node Operators completing the Founding</w:t>
      </w:r>
      <w:r>
        <w:t xml:space="preserve"> </w:t>
      </w:r>
      <w:r>
        <w:t xml:space="preserve">Period network to apply through the procedure published at</w:t>
      </w:r>
      <w:r>
        <w:t xml:space="preserve"> </w:t>
      </w:r>
      <w:r>
        <w:t xml:space="preserve">theailab.org/founding-node.</w:t>
      </w:r>
    </w:p>
    <w:p>
      <w:pPr>
        <w:numPr>
          <w:ilvl w:val="0"/>
          <w:numId w:val="1003"/>
        </w:numPr>
      </w:pPr>
      <w:r>
        <w:t xml:space="preserve">Commercial licensees in any tier of the Commercial Tier Schedule</w:t>
      </w:r>
      <w:r>
        <w:t xml:space="preserve"> </w:t>
      </w:r>
      <w:r>
        <w:t xml:space="preserve">to obtain a Commercial License through the procedure published at</w:t>
      </w:r>
      <w:r>
        <w:t xml:space="preserve"> </w:t>
      </w:r>
      <w:r>
        <w:t xml:space="preserve">theailab.org/tip-license.</w:t>
      </w:r>
    </w:p>
    <w:bookmarkEnd w:id="32"/>
    <w:bookmarkStart w:id="33" w:name="es.10-contact"/>
    <w:p>
      <w:pPr>
        <w:pStyle w:val="Heading2"/>
      </w:pPr>
      <w:r>
        <w:t xml:space="preserve">ES.10 Contact</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Purpose</w:t>
            </w:r>
          </w:p>
        </w:tc>
        <w:tc>
          <w:tcPr/>
          <w:p>
            <w:pPr>
              <w:pStyle w:val="Compact"/>
            </w:pPr>
            <w:r>
              <w:t xml:space="preserve">Address</w:t>
            </w:r>
          </w:p>
        </w:tc>
      </w:tr>
      <w:tr>
        <w:tc>
          <w:tcPr/>
          <w:p>
            <w:pPr>
              <w:pStyle w:val="Compact"/>
            </w:pPr>
            <w:r>
              <w:t xml:space="preserve">Licensing and Commercial Implementation</w:t>
            </w:r>
          </w:p>
        </w:tc>
        <w:tc>
          <w:tcPr/>
          <w:p>
            <w:pPr>
              <w:pStyle w:val="Compact"/>
            </w:pPr>
            <w:r>
              <w:rPr>
                <w:rStyle w:val="VerbatimChar"/>
              </w:rPr>
              <w:t xml:space="preserve">licensing@theailab.org</w:t>
            </w:r>
            <w:r>
              <w:t xml:space="preserve">, theailab.org/tip-license</w:t>
            </w:r>
          </w:p>
        </w:tc>
      </w:tr>
      <w:tr>
        <w:tc>
          <w:tcPr/>
          <w:p>
            <w:pPr>
              <w:pStyle w:val="Compact"/>
            </w:pPr>
            <w:r>
              <w:t xml:space="preserve">Founding Node Operator Applications</w:t>
            </w:r>
          </w:p>
        </w:tc>
        <w:tc>
          <w:tcPr/>
          <w:p>
            <w:pPr>
              <w:pStyle w:val="Compact"/>
            </w:pPr>
            <w:r>
              <w:rPr>
                <w:rStyle w:val="VerbatimChar"/>
              </w:rPr>
              <w:t xml:space="preserve">nodes@theailab.org</w:t>
            </w:r>
            <w:r>
              <w:t xml:space="preserve">, theailab.org/founding-node</w:t>
            </w:r>
          </w:p>
        </w:tc>
      </w:tr>
      <w:tr>
        <w:tc>
          <w:tcPr/>
          <w:p>
            <w:pPr>
              <w:pStyle w:val="Compact"/>
            </w:pPr>
            <w:r>
              <w:t xml:space="preserve">AI Trust Council Membership</w:t>
            </w:r>
          </w:p>
        </w:tc>
        <w:tc>
          <w:tcPr/>
          <w:p>
            <w:pPr>
              <w:pStyle w:val="Compact"/>
            </w:pPr>
            <w:r>
              <w:rPr>
                <w:rStyle w:val="VerbatimChar"/>
              </w:rPr>
              <w:t xml:space="preserve">council@theailab.org</w:t>
            </w:r>
            <w:r>
              <w:t xml:space="preserve">,</w:t>
            </w:r>
          </w:p>
        </w:tc>
      </w:tr>
      <w:tr>
        <w:tc>
          <w:tcPr/>
          <w:p>
            <w:pPr>
              <w:pStyle w:val="Compact"/>
            </w:pPr>
            <w:r>
              <w:t xml:space="preserve">theailab.org/ai-trust-council</w:t>
            </w:r>
          </w:p>
        </w:tc>
        <w:tc>
          <w:tcPr/>
          <w:p>
            <w:pPr>
              <w:pStyle w:val="Compact"/>
            </w:pPr>
          </w:p>
        </w:tc>
      </w:tr>
      <w:tr>
        <w:tc>
          <w:tcPr/>
          <w:p>
            <w:pPr>
              <w:pStyle w:val="Compact"/>
            </w:pPr>
            <w:r>
              <w:t xml:space="preserve">Verification Provider Accreditation</w:t>
            </w:r>
          </w:p>
        </w:tc>
        <w:tc>
          <w:tcPr/>
          <w:p>
            <w:pPr>
              <w:pStyle w:val="Compact"/>
            </w:pPr>
            <w:r>
              <w:rPr>
                <w:rStyle w:val="VerbatimChar"/>
              </w:rPr>
              <w:t xml:space="preserve">licensing@theailab.org</w:t>
            </w:r>
            <w:r>
              <w:t xml:space="preserve">,</w:t>
            </w:r>
          </w:p>
        </w:tc>
      </w:tr>
      <w:tr>
        <w:tc>
          <w:tcPr/>
          <w:p>
            <w:pPr>
              <w:pStyle w:val="Compact"/>
            </w:pPr>
            <w:r>
              <w:t xml:space="preserve">theailab.org/tip-verification-provider</w:t>
            </w:r>
          </w:p>
        </w:tc>
        <w:tc>
          <w:tcPr/>
          <w:p>
            <w:pPr>
              <w:pStyle w:val="Compact"/>
            </w:pPr>
          </w:p>
        </w:tc>
      </w:tr>
      <w:tr>
        <w:tc>
          <w:tcPr/>
          <w:p>
            <w:pPr>
              <w:pStyle w:val="Compact"/>
            </w:pPr>
            <w:r>
              <w:t xml:space="preserve">Technical Inquiries</w:t>
            </w:r>
          </w:p>
        </w:tc>
        <w:tc>
          <w:tcPr/>
          <w:p>
            <w:pPr>
              <w:pStyle w:val="Compact"/>
            </w:pPr>
            <w:r>
              <w:rPr>
                <w:rStyle w:val="VerbatimChar"/>
              </w:rPr>
              <w:t xml:space="preserve">tip@theailab.org</w:t>
            </w:r>
            <w:r>
              <w:t xml:space="preserve">, theailab.org/tip-protocol</w:t>
            </w:r>
          </w:p>
        </w:tc>
      </w:tr>
      <w:tr>
        <w:tc>
          <w:tcPr/>
          <w:p>
            <w:pPr>
              <w:pStyle w:val="Compact"/>
            </w:pPr>
            <w:r>
              <w:t xml:space="preserve">Standards Engagement</w:t>
            </w:r>
          </w:p>
        </w:tc>
        <w:tc>
          <w:tcPr/>
          <w:p>
            <w:pPr>
              <w:pStyle w:val="Compact"/>
            </w:pPr>
            <w:r>
              <w:rPr>
                <w:rStyle w:val="VerbatimChar"/>
              </w:rPr>
              <w:t xml:space="preserve">standards@theailab.org</w:t>
            </w:r>
          </w:p>
        </w:tc>
      </w:tr>
      <w:tr>
        <w:tc>
          <w:tcPr/>
          <w:p>
            <w:pPr>
              <w:pStyle w:val="Compact"/>
            </w:pPr>
            <w:r>
              <w:t xml:space="preserve">Conformance Inquiries</w:t>
            </w:r>
          </w:p>
        </w:tc>
        <w:tc>
          <w:tcPr/>
          <w:p>
            <w:pPr>
              <w:pStyle w:val="Compact"/>
            </w:pPr>
            <w:r>
              <w:rPr>
                <w:rStyle w:val="VerbatimChar"/>
              </w:rPr>
              <w:t xml:space="preserve">compliance@theailab.org</w:t>
            </w:r>
          </w:p>
        </w:tc>
      </w:tr>
      <w:tr>
        <w:tc>
          <w:tcPr/>
          <w:p>
            <w:pPr>
              <w:pStyle w:val="Compact"/>
            </w:pPr>
            <w:r>
              <w:t xml:space="preserve">General Counsel</w:t>
            </w:r>
          </w:p>
        </w:tc>
        <w:tc>
          <w:tcPr/>
          <w:p>
            <w:pPr>
              <w:pStyle w:val="Compact"/>
            </w:pPr>
            <w:r>
              <w:rPr>
                <w:rStyle w:val="VerbatimChar"/>
              </w:rPr>
              <w:t xml:space="preserve">legal@theailab.org</w:t>
            </w:r>
          </w:p>
        </w:tc>
      </w:tr>
      <w:tr>
        <w:tc>
          <w:tcPr/>
          <w:p>
            <w:pPr>
              <w:pStyle w:val="Compact"/>
            </w:pPr>
            <w:r>
              <w:t xml:space="preserve">Press and Public Affairs</w:t>
            </w:r>
          </w:p>
        </w:tc>
        <w:tc>
          <w:tcPr/>
          <w:p>
            <w:pPr>
              <w:pStyle w:val="Compact"/>
            </w:pPr>
            <w:r>
              <w:rPr>
                <w:rStyle w:val="VerbatimChar"/>
              </w:rPr>
              <w:t xml:space="preserve">press@theailab.org</w:t>
            </w:r>
          </w:p>
        </w:tc>
      </w:tr>
    </w:tbl>
    <w:p>
      <w:pPr>
        <w:pStyle w:val="BodyText"/>
      </w:pPr>
      <w:r>
        <w:t xml:space="preserve">The AI Lab Intelligence Unobscured, Inc. Wilmington, Delaware, United</w:t>
      </w:r>
      <w:r>
        <w:t xml:space="preserve"> </w:t>
      </w:r>
      <w:r>
        <w:t xml:space="preserve">States.</w:t>
      </w:r>
    </w:p>
    <w:bookmarkEnd w:id="33"/>
    <w:bookmarkEnd w:id="34"/>
    <w:bookmarkStart w:id="43" w:name="part-i-the-verification-problem"/>
    <w:p>
      <w:pPr>
        <w:pStyle w:val="Heading1"/>
      </w:pPr>
      <w:r>
        <w:t xml:space="preserve">Part I: The Verification Problem</w:t>
      </w:r>
    </w:p>
    <w:bookmarkStart w:id="35" w:name="the-condition-the-protocol-addresses"/>
    <w:p>
      <w:pPr>
        <w:pStyle w:val="Heading2"/>
      </w:pPr>
      <w:r>
        <w:t xml:space="preserve">1.1 The condition the protocol addresses</w:t>
      </w:r>
    </w:p>
    <w:p>
      <w:pPr>
        <w:pStyle w:val="FirstParagraph"/>
      </w:pPr>
      <w:r>
        <w:t xml:space="preserve">By the close of the year 2025, the cost of producing synthetic audio,</w:t>
      </w:r>
      <w:r>
        <w:t xml:space="preserve"> </w:t>
      </w:r>
      <w:r>
        <w:t xml:space="preserve">image, video, and text content of a quality sufficient to deceive an</w:t>
      </w:r>
      <w:r>
        <w:t xml:space="preserve"> </w:t>
      </w:r>
      <w:r>
        <w:t xml:space="preserve">attentive human observer had fallen to a fraction of the cost of</w:t>
      </w:r>
      <w:r>
        <w:t xml:space="preserve"> </w:t>
      </w:r>
      <w:r>
        <w:t xml:space="preserve">producing equivalent content by traditional means. Tools capable of</w:t>
      </w:r>
      <w:r>
        <w:t xml:space="preserve"> </w:t>
      </w:r>
      <w:r>
        <w:t xml:space="preserve">generating photorealistic images, full-motion video of named natural</w:t>
      </w:r>
      <w:r>
        <w:t xml:space="preserve"> </w:t>
      </w:r>
      <w:r>
        <w:t xml:space="preserve">persons, audio in the recognizable voice of named natural persons, and</w:t>
      </w:r>
      <w:r>
        <w:t xml:space="preserve"> </w:t>
      </w:r>
      <w:r>
        <w:t xml:space="preserve">long-form text in the recognizable style of named natural persons were</w:t>
      </w:r>
      <w:r>
        <w:t xml:space="preserve"> </w:t>
      </w:r>
      <w:r>
        <w:t xml:space="preserve">available to any person with consumer-grade hardware and a residential</w:t>
      </w:r>
      <w:r>
        <w:t xml:space="preserve"> </w:t>
      </w:r>
      <w:r>
        <w:t xml:space="preserve">internet connection.</w:t>
      </w:r>
    </w:p>
    <w:p>
      <w:pPr>
        <w:pStyle w:val="BodyText"/>
      </w:pPr>
      <w:r>
        <w:t xml:space="preserve">The consequences of this condition extend across every domain in</w:t>
      </w:r>
      <w:r>
        <w:t xml:space="preserve"> </w:t>
      </w:r>
      <w:r>
        <w:t xml:space="preserve">which the public relies on the authenticity of a digital record. In</w:t>
      </w:r>
      <w:r>
        <w:t xml:space="preserve"> </w:t>
      </w:r>
      <w:r>
        <w:t xml:space="preserve">journalism, the line between an unaltered photograph and a manipulated</w:t>
      </w:r>
      <w:r>
        <w:t xml:space="preserve"> </w:t>
      </w:r>
      <w:r>
        <w:t xml:space="preserve">one is no longer apparent to the reader. In civic discourse, the</w:t>
      </w:r>
      <w:r>
        <w:t xml:space="preserve"> </w:t>
      </w:r>
      <w:r>
        <w:t xml:space="preserve">question of whether a video of a public official saying a particular</w:t>
      </w:r>
      <w:r>
        <w:t xml:space="preserve"> </w:t>
      </w:r>
      <w:r>
        <w:t xml:space="preserve">thing is genuine or fabricated cannot be answered by examining the</w:t>
      </w:r>
      <w:r>
        <w:t xml:space="preserve"> </w:t>
      </w:r>
      <w:r>
        <w:t xml:space="preserve">video. In the administration of justice, the evidentiary weight of a</w:t>
      </w:r>
      <w:r>
        <w:t xml:space="preserve"> </w:t>
      </w:r>
      <w:r>
        <w:t xml:space="preserve">digital recording is undermined by the possibility of synthesis. In</w:t>
      </w:r>
      <w:r>
        <w:t xml:space="preserve"> </w:t>
      </w:r>
      <w:r>
        <w:t xml:space="preserve">financial markets, the possibility of synthetic announcements from named</w:t>
      </w:r>
      <w:r>
        <w:t xml:space="preserve"> </w:t>
      </w:r>
      <w:r>
        <w:t xml:space="preserve">officers of public companies has been demonstrated to move prices. In</w:t>
      </w:r>
      <w:r>
        <w:t xml:space="preserve"> </w:t>
      </w:r>
      <w:r>
        <w:t xml:space="preserve">personal life, the production of synthetic content depicting natural</w:t>
      </w:r>
      <w:r>
        <w:t xml:space="preserve"> </w:t>
      </w:r>
      <w:r>
        <w:t xml:space="preserve">persons in circumstances they did not consent to has become an ordinary,</w:t>
      </w:r>
      <w:r>
        <w:t xml:space="preserve"> </w:t>
      </w:r>
      <w:r>
        <w:t xml:space="preserve">low-cost act.</w:t>
      </w:r>
    </w:p>
    <w:p>
      <w:pPr>
        <w:pStyle w:val="BodyText"/>
      </w:pPr>
      <w:r>
        <w:t xml:space="preserve">Existing public and private responses to this condition fall into</w:t>
      </w:r>
      <w:r>
        <w:t xml:space="preserve"> </w:t>
      </w:r>
      <w:r>
        <w:t xml:space="preserve">three categories: (a) technical efforts to embed provenance metadata in</w:t>
      </w:r>
      <w:r>
        <w:t xml:space="preserve"> </w:t>
      </w:r>
      <w:r>
        <w:t xml:space="preserve">content at the moment of production or capture, (b) technical efforts to</w:t>
      </w:r>
      <w:r>
        <w:t xml:space="preserve"> </w:t>
      </w:r>
      <w:r>
        <w:t xml:space="preserve">detect synthetic content by analysis of the content itself, and (c)</w:t>
      </w:r>
      <w:r>
        <w:t xml:space="preserve"> </w:t>
      </w:r>
      <w:r>
        <w:t xml:space="preserve">administrative and regulatory measures imposing disclosure obligations</w:t>
      </w:r>
      <w:r>
        <w:t xml:space="preserve"> </w:t>
      </w:r>
      <w:r>
        <w:t xml:space="preserve">on the producers and distributors of synthetic content. Each category</w:t>
      </w:r>
      <w:r>
        <w:t xml:space="preserve"> </w:t>
      </w:r>
      <w:r>
        <w:t xml:space="preserve">has been valuable. None has, in the form available at the publication of</w:t>
      </w:r>
      <w:r>
        <w:t xml:space="preserve"> </w:t>
      </w:r>
      <w:r>
        <w:t xml:space="preserve">this whitepaper, addressed the underlying structural problem: the</w:t>
      </w:r>
      <w:r>
        <w:t xml:space="preserve"> </w:t>
      </w:r>
      <w:r>
        <w:t xml:space="preserve">absence of a federated, post-quantum, cryptographically verifiable,</w:t>
      </w:r>
      <w:r>
        <w:t xml:space="preserve"> </w:t>
      </w:r>
      <w:r>
        <w:t xml:space="preserve">jurisdictionally portable system for binding an authenticated identity</w:t>
      </w:r>
      <w:r>
        <w:t xml:space="preserve"> </w:t>
      </w:r>
      <w:r>
        <w:t xml:space="preserve">to an authenticated piece of content, recorded in a manner that cannot</w:t>
      </w:r>
      <w:r>
        <w:t xml:space="preserve"> </w:t>
      </w:r>
      <w:r>
        <w:t xml:space="preserve">be repudiated by either party at a later time.</w:t>
      </w:r>
    </w:p>
    <w:p>
      <w:pPr>
        <w:pStyle w:val="BodyText"/>
      </w:pPr>
      <w:r>
        <w:t xml:space="preserve">The Trust Identity Protocol is designed to address that structural</w:t>
      </w:r>
      <w:r>
        <w:t xml:space="preserve"> </w:t>
      </w:r>
      <w:r>
        <w:t xml:space="preserve">problem.</w:t>
      </w:r>
    </w:p>
    <w:bookmarkEnd w:id="35"/>
    <w:bookmarkStart w:id="36" w:name="Xc2a5860ad62334afb603de04f354b168b776c3e"/>
    <w:p>
      <w:pPr>
        <w:pStyle w:val="Heading2"/>
      </w:pPr>
      <w:r>
        <w:t xml:space="preserve">1.2 The limits of platform-controlled trust signals</w:t>
      </w:r>
    </w:p>
    <w:p>
      <w:pPr>
        <w:pStyle w:val="FirstParagraph"/>
      </w:pPr>
      <w:r>
        <w:t xml:space="preserve">In the platform-centric architecture that emerged between 2004 and</w:t>
      </w:r>
      <w:r>
        <w:t xml:space="preserve"> </w:t>
      </w:r>
      <w:r>
        <w:t xml:space="preserve">2024, the principal trust signals available to a reader were the trust</w:t>
      </w:r>
      <w:r>
        <w:t xml:space="preserve"> </w:t>
      </w:r>
      <w:r>
        <w:t xml:space="preserve">signals applied by the platform on which the content was encountered. A</w:t>
      </w:r>
      <w:r>
        <w:t xml:space="preserve"> </w:t>
      </w:r>
      <w:r>
        <w:t xml:space="preserve">blue check on one platform, a yellow check on a second, a notation that</w:t>
      </w:r>
      <w:r>
        <w:t xml:space="preserve"> </w:t>
      </w:r>
      <w:r>
        <w:t xml:space="preserve">a video had been reviewed by independent fact-checkers on a third. These</w:t>
      </w:r>
      <w:r>
        <w:t xml:space="preserve"> </w:t>
      </w:r>
      <w:r>
        <w:t xml:space="preserve">signals had the merit of being immediate and intelligible to ordinary</w:t>
      </w:r>
      <w:r>
        <w:t xml:space="preserve"> </w:t>
      </w:r>
      <w:r>
        <w:t xml:space="preserve">readers. They had three structural limitations.</w:t>
      </w:r>
    </w:p>
    <w:p>
      <w:pPr>
        <w:pStyle w:val="BodyText"/>
      </w:pPr>
      <w:r>
        <w:t xml:space="preserve">First, the signals were defined and applied by the platform. A change</w:t>
      </w:r>
      <w:r>
        <w:t xml:space="preserve"> </w:t>
      </w:r>
      <w:r>
        <w:t xml:space="preserve">of platform policy, a change of ownership, or a commercial decision</w:t>
      </w:r>
      <w:r>
        <w:t xml:space="preserve"> </w:t>
      </w:r>
      <w:r>
        <w:t xml:space="preserve">concerning the meaning of a signal could alter the signal’s meaning</w:t>
      </w:r>
      <w:r>
        <w:t xml:space="preserve"> </w:t>
      </w:r>
      <w:r>
        <w:t xml:space="preserve">without the reader’s knowledge. A signal that meant identity-verified in</w:t>
      </w:r>
      <w:r>
        <w:t xml:space="preserve"> </w:t>
      </w:r>
      <w:r>
        <w:t xml:space="preserve">one quarter could come to mean identity-verified-and-paying-subscription</w:t>
      </w:r>
      <w:r>
        <w:t xml:space="preserve"> </w:t>
      </w:r>
      <w:r>
        <w:t xml:space="preserve">in the next quarter without a visible change in the signal itself.</w:t>
      </w:r>
    </w:p>
    <w:p>
      <w:pPr>
        <w:pStyle w:val="BodyText"/>
      </w:pPr>
      <w:r>
        <w:t xml:space="preserve">Second, the signals were not portable. A reader who left a platform</w:t>
      </w:r>
      <w:r>
        <w:t xml:space="preserve"> </w:t>
      </w:r>
      <w:r>
        <w:t xml:space="preserve">took none of the platform’s trust signals with the reader. A creator</w:t>
      </w:r>
      <w:r>
        <w:t xml:space="preserve"> </w:t>
      </w:r>
      <w:r>
        <w:t xml:space="preserve">whose identity had been verified on one platform had to repeat the</w:t>
      </w:r>
      <w:r>
        <w:t xml:space="preserve"> </w:t>
      </w:r>
      <w:r>
        <w:t xml:space="preserve">verification on every other platform. A signal applied on one surface</w:t>
      </w:r>
      <w:r>
        <w:t xml:space="preserve"> </w:t>
      </w:r>
      <w:r>
        <w:t xml:space="preserve">had no force on any other surface.</w:t>
      </w:r>
    </w:p>
    <w:p>
      <w:pPr>
        <w:pStyle w:val="BodyText"/>
      </w:pPr>
      <w:r>
        <w:t xml:space="preserve">Third, the signals were not cryptographically attached to the</w:t>
      </w:r>
      <w:r>
        <w:t xml:space="preserve"> </w:t>
      </w:r>
      <w:r>
        <w:t xml:space="preserve">content. The platform’s signal sat alongside the content in the</w:t>
      </w:r>
      <w:r>
        <w:t xml:space="preserve"> </w:t>
      </w:r>
      <w:r>
        <w:t xml:space="preserve">platform’s user interface. The content could be reproduced, captured by</w:t>
      </w:r>
      <w:r>
        <w:t xml:space="preserve"> </w:t>
      </w:r>
      <w:r>
        <w:t xml:space="preserve">screenshot, redistributed by other means, in each case stripped of the</w:t>
      </w:r>
      <w:r>
        <w:t xml:space="preserve"> </w:t>
      </w:r>
      <w:r>
        <w:t xml:space="preserve">platform’s signal. The signal accompanied the experience of the content</w:t>
      </w:r>
      <w:r>
        <w:t xml:space="preserve"> </w:t>
      </w:r>
      <w:r>
        <w:t xml:space="preserve">on the platform, not the content itself.</w:t>
      </w:r>
    </w:p>
    <w:p>
      <w:pPr>
        <w:pStyle w:val="BodyText"/>
      </w:pPr>
      <w:r>
        <w:t xml:space="preserve">These three limitations are not accidents of design. They are</w:t>
      </w:r>
      <w:r>
        <w:t xml:space="preserve"> </w:t>
      </w:r>
      <w:r>
        <w:t xml:space="preserve">structural consequences of the platform-centric architecture. A trust</w:t>
      </w:r>
      <w:r>
        <w:t xml:space="preserve"> </w:t>
      </w:r>
      <w:r>
        <w:t xml:space="preserve">signal defined by the platform, applied by the platform, and visible</w:t>
      </w:r>
      <w:r>
        <w:t xml:space="preserve"> </w:t>
      </w:r>
      <w:r>
        <w:t xml:space="preserve">only on the platform is, by construction, a property of the platform and</w:t>
      </w:r>
      <w:r>
        <w:t xml:space="preserve"> </w:t>
      </w:r>
      <w:r>
        <w:t xml:space="preserve">not of the content.</w:t>
      </w:r>
    </w:p>
    <w:bookmarkEnd w:id="36"/>
    <w:bookmarkStart w:id="37" w:name="X32b492dbfdfd0a47cad63dc3571053badde8d45"/>
    <w:p>
      <w:pPr>
        <w:pStyle w:val="Heading2"/>
      </w:pPr>
      <w:r>
        <w:t xml:space="preserve">1.3 The limits of existing provenance standards</w:t>
      </w:r>
    </w:p>
    <w:p>
      <w:pPr>
        <w:pStyle w:val="FirstParagraph"/>
      </w:pPr>
      <w:r>
        <w:t xml:space="preserve">A second category of response has emerged in the form of provenance</w:t>
      </w:r>
      <w:r>
        <w:t xml:space="preserve"> </w:t>
      </w:r>
      <w:r>
        <w:t xml:space="preserve">standards designed to attach metadata to content at the moment of</w:t>
      </w:r>
      <w:r>
        <w:t xml:space="preserve"> </w:t>
      </w:r>
      <w:r>
        <w:t xml:space="preserve">capture or production. The most widely deployed of these is the</w:t>
      </w:r>
      <w:r>
        <w:t xml:space="preserve"> </w:t>
      </w:r>
      <w:r>
        <w:t xml:space="preserve">specification developed by the Coalition for Content Provenance and</w:t>
      </w:r>
      <w:r>
        <w:t xml:space="preserve"> </w:t>
      </w:r>
      <w:r>
        <w:t xml:space="preserve">Authenticity (C2PA), with substantial work also undertaken by the</w:t>
      </w:r>
      <w:r>
        <w:t xml:space="preserve"> </w:t>
      </w:r>
      <w:r>
        <w:t xml:space="preserve">Content Authenticity Initiative led by Adobe and by several</w:t>
      </w:r>
      <w:r>
        <w:t xml:space="preserve"> </w:t>
      </w:r>
      <w:r>
        <w:t xml:space="preserve">manufacturers of cameras and capture devices. These efforts have</w:t>
      </w:r>
      <w:r>
        <w:t xml:space="preserve"> </w:t>
      </w:r>
      <w:r>
        <w:t xml:space="preserve">produced a deployable specification and a growing installed base of</w:t>
      </w:r>
      <w:r>
        <w:t xml:space="preserve"> </w:t>
      </w:r>
      <w:r>
        <w:t xml:space="preserve">cameras and editing tools that produce conformant manifests.</w:t>
      </w:r>
    </w:p>
    <w:p>
      <w:pPr>
        <w:pStyle w:val="BodyText"/>
      </w:pPr>
      <w:r>
        <w:t xml:space="preserve">The C2PA specification is a meaningful contribution to the provenance</w:t>
      </w:r>
      <w:r>
        <w:t xml:space="preserve"> </w:t>
      </w:r>
      <w:r>
        <w:t xml:space="preserve">problem and the Trust Identity Protocol is designed to interoperate with</w:t>
      </w:r>
      <w:r>
        <w:t xml:space="preserve"> </w:t>
      </w:r>
      <w:r>
        <w:t xml:space="preserve">it. The C2PA specification, in its present form, does not, however,</w:t>
      </w:r>
      <w:r>
        <w:t xml:space="preserve"> </w:t>
      </w:r>
      <w:r>
        <w:t xml:space="preserve">resolve four properties on which a verifiable internet depends.</w:t>
      </w:r>
    </w:p>
    <w:p>
      <w:pPr>
        <w:pStyle w:val="BodyText"/>
      </w:pPr>
      <w:r>
        <w:rPr>
          <w:b/>
          <w:bCs/>
        </w:rPr>
        <w:t xml:space="preserve">The identity of the signer.</w:t>
      </w:r>
      <w:r>
        <w:t xml:space="preserve"> </w:t>
      </w:r>
      <w:r>
        <w:t xml:space="preserve">A C2PA manifest is</w:t>
      </w:r>
      <w:r>
        <w:t xml:space="preserve"> </w:t>
      </w:r>
      <w:r>
        <w:t xml:space="preserve">signed by an entity holding a credential issued by a certificate</w:t>
      </w:r>
      <w:r>
        <w:t xml:space="preserve"> </w:t>
      </w:r>
      <w:r>
        <w:t xml:space="preserve">authority recognized by the C2PA. The credential attests to the identity</w:t>
      </w:r>
      <w:r>
        <w:t xml:space="preserve"> </w:t>
      </w:r>
      <w:r>
        <w:t xml:space="preserve">of the signing entity as known to that certificate authority. The C2PA</w:t>
      </w:r>
      <w:r>
        <w:t xml:space="preserve"> </w:t>
      </w:r>
      <w:r>
        <w:t xml:space="preserve">specification does not, in itself, supply a federated registry of</w:t>
      </w:r>
      <w:r>
        <w:t xml:space="preserve"> </w:t>
      </w:r>
      <w:r>
        <w:t xml:space="preserve">accredited identity verification providers, a standardized accreditation</w:t>
      </w:r>
      <w:r>
        <w:t xml:space="preserve"> </w:t>
      </w:r>
      <w:r>
        <w:t xml:space="preserve">process for such providers, or a public registry of signing identities</w:t>
      </w:r>
      <w:r>
        <w:t xml:space="preserve"> </w:t>
      </w:r>
      <w:r>
        <w:t xml:space="preserve">portable across platforms and jurisdictions.</w:t>
      </w:r>
    </w:p>
    <w:p>
      <w:pPr>
        <w:pStyle w:val="BodyText"/>
      </w:pPr>
      <w:r>
        <w:rPr>
          <w:b/>
          <w:bCs/>
        </w:rPr>
        <w:t xml:space="preserve">The reputation of the signer.</w:t>
      </w:r>
      <w:r>
        <w:t xml:space="preserve"> </w:t>
      </w:r>
      <w:r>
        <w:t xml:space="preserve">A C2PA manifest does</w:t>
      </w:r>
      <w:r>
        <w:t xml:space="preserve"> </w:t>
      </w:r>
      <w:r>
        <w:t xml:space="preserve">not contain a reputation score associated with the signing entity. The</w:t>
      </w:r>
      <w:r>
        <w:t xml:space="preserve"> </w:t>
      </w:r>
      <w:r>
        <w:t xml:space="preserve">reader of a content unit accompanied by a C2PA manifest can verify that</w:t>
      </w:r>
      <w:r>
        <w:t xml:space="preserve"> </w:t>
      </w:r>
      <w:r>
        <w:t xml:space="preserve">the manifest is intact and that the signing entity is the entity it</w:t>
      </w:r>
      <w:r>
        <w:t xml:space="preserve"> </w:t>
      </w:r>
      <w:r>
        <w:t xml:space="preserve">claims to be. The reader cannot, from the manifest alone, ascertain</w:t>
      </w:r>
      <w:r>
        <w:t xml:space="preserve"> </w:t>
      </w:r>
      <w:r>
        <w:t xml:space="preserve">whether the signing entity has previously been the subject of</w:t>
      </w:r>
      <w:r>
        <w:t xml:space="preserve"> </w:t>
      </w:r>
      <w:r>
        <w:t xml:space="preserve">suspension, revocation, or adverse adjudication by any institution.</w:t>
      </w:r>
    </w:p>
    <w:p>
      <w:pPr>
        <w:pStyle w:val="BodyText"/>
      </w:pPr>
      <w:r>
        <w:rPr>
          <w:b/>
          <w:bCs/>
        </w:rPr>
        <w:t xml:space="preserve">The post-quantum posture.</w:t>
      </w:r>
      <w:r>
        <w:t xml:space="preserve"> </w:t>
      </w:r>
      <w:r>
        <w:t xml:space="preserve">The cryptographic</w:t>
      </w:r>
      <w:r>
        <w:t xml:space="preserve"> </w:t>
      </w:r>
      <w:r>
        <w:t xml:space="preserve">signature schemes used in C2PA manifests as deployed at the publication</w:t>
      </w:r>
      <w:r>
        <w:t xml:space="preserve"> </w:t>
      </w:r>
      <w:r>
        <w:t xml:space="preserve">of this whitepaper rely on classical primitives (ECDSA and RSA) that are</w:t>
      </w:r>
      <w:r>
        <w:t xml:space="preserve"> </w:t>
      </w:r>
      <w:r>
        <w:t xml:space="preserve">subject to attack by a sufficiently advanced quantum computer.</w:t>
      </w:r>
      <w:r>
        <w:t xml:space="preserve"> </w:t>
      </w:r>
      <w:r>
        <w:t xml:space="preserve">Signatures generated under those primitives today are subject to a</w:t>
      </w:r>
      <w:r>
        <w:t xml:space="preserve"> </w:t>
      </w:r>
      <w:r>
        <w:t xml:space="preserve">long-tail risk that they may be forgeable retroactively, at a future</w:t>
      </w:r>
      <w:r>
        <w:t xml:space="preserve"> </w:t>
      </w:r>
      <w:r>
        <w:t xml:space="preserve">date, by an adversary holding a quantum computing capability not</w:t>
      </w:r>
      <w:r>
        <w:t xml:space="preserve"> </w:t>
      </w:r>
      <w:r>
        <w:t xml:space="preserve">presently possessed by any known actor but believed by the United States</w:t>
      </w:r>
      <w:r>
        <w:t xml:space="preserve"> </w:t>
      </w:r>
      <w:r>
        <w:t xml:space="preserve">National Institute of Standards and Technology and by analogous bodies</w:t>
      </w:r>
      <w:r>
        <w:t xml:space="preserve"> </w:t>
      </w:r>
      <w:r>
        <w:t xml:space="preserve">in the European Union, the United Kingdom, and elsewhere to be plausibly</w:t>
      </w:r>
      <w:r>
        <w:t xml:space="preserve"> </w:t>
      </w:r>
      <w:r>
        <w:t xml:space="preserve">achievable within the working life of records being signed today.</w:t>
      </w:r>
    </w:p>
    <w:p>
      <w:pPr>
        <w:pStyle w:val="BodyText"/>
      </w:pPr>
      <w:r>
        <w:rPr>
          <w:b/>
          <w:bCs/>
        </w:rPr>
        <w:t xml:space="preserve">The append-only public record.</w:t>
      </w:r>
      <w:r>
        <w:t xml:space="preserve"> </w:t>
      </w:r>
      <w:r>
        <w:t xml:space="preserve">A C2PA manifest is a</w:t>
      </w:r>
      <w:r>
        <w:t xml:space="preserve"> </w:t>
      </w:r>
      <w:r>
        <w:t xml:space="preserve">record of provenance accompanying a content unit. It is not, in itself,</w:t>
      </w:r>
      <w:r>
        <w:t xml:space="preserve"> </w:t>
      </w:r>
      <w:r>
        <w:t xml:space="preserve">a public, append-only, distributed record of the population of signed</w:t>
      </w:r>
      <w:r>
        <w:t xml:space="preserve"> </w:t>
      </w:r>
      <w:r>
        <w:t xml:space="preserve">content units. The C2PA specification does not contemplate, and does not</w:t>
      </w:r>
      <w:r>
        <w:t xml:space="preserve"> </w:t>
      </w:r>
      <w:r>
        <w:t xml:space="preserve">require, the publication of signed content fingerprints to a public,</w:t>
      </w:r>
      <w:r>
        <w:t xml:space="preserve"> </w:t>
      </w:r>
      <w:r>
        <w:t xml:space="preserve">append-only ledger from which the population of all signed content can</w:t>
      </w:r>
      <w:r>
        <w:t xml:space="preserve"> </w:t>
      </w:r>
      <w:r>
        <w:t xml:space="preserve">be inspected by any interested party.</w:t>
      </w:r>
    </w:p>
    <w:p>
      <w:pPr>
        <w:pStyle w:val="BodyText"/>
      </w:pPr>
      <w:r>
        <w:t xml:space="preserve">The Trust Identity Protocol is designed to supply these four</w:t>
      </w:r>
      <w:r>
        <w:t xml:space="preserve"> </w:t>
      </w:r>
      <w:r>
        <w:t xml:space="preserve">properties as additions to the existing provenance ecosystem, not as</w:t>
      </w:r>
      <w:r>
        <w:t xml:space="preserve"> </w:t>
      </w:r>
      <w:r>
        <w:t xml:space="preserve">replacements. A publisher or a creator who has invested in a C2PA</w:t>
      </w:r>
      <w:r>
        <w:t xml:space="preserve"> </w:t>
      </w:r>
      <w:r>
        <w:t xml:space="preserve">workflow may continue that workflow, generate a C2PA manifest, and</w:t>
      </w:r>
      <w:r>
        <w:t xml:space="preserve"> </w:t>
      </w:r>
      <w:r>
        <w:t xml:space="preserve">additionally register the content under the Trust Identity Protocol,</w:t>
      </w:r>
      <w:r>
        <w:t xml:space="preserve"> </w:t>
      </w:r>
      <w:r>
        <w:t xml:space="preserve">thereby gaining the four properties listed above while preserving</w:t>
      </w:r>
      <w:r>
        <w:t xml:space="preserve"> </w:t>
      </w:r>
      <w:r>
        <w:t xml:space="preserve">interoperability with C2PA readers.</w:t>
      </w:r>
    </w:p>
    <w:bookmarkEnd w:id="37"/>
    <w:bookmarkStart w:id="38" w:name="the-limits-of-watermarking"/>
    <w:p>
      <w:pPr>
        <w:pStyle w:val="Heading2"/>
      </w:pPr>
      <w:r>
        <w:t xml:space="preserve">1.4 The limits of watermarking</w:t>
      </w:r>
    </w:p>
    <w:p>
      <w:pPr>
        <w:pStyle w:val="FirstParagraph"/>
      </w:pPr>
      <w:r>
        <w:t xml:space="preserve">A third response is the embedding of imperceptible signals within</w:t>
      </w:r>
      <w:r>
        <w:t xml:space="preserve"> </w:t>
      </w:r>
      <w:r>
        <w:t xml:space="preserve">content (steganographic or perceptual watermarks) that identify the</w:t>
      </w:r>
      <w:r>
        <w:t xml:space="preserve"> </w:t>
      </w:r>
      <w:r>
        <w:t xml:space="preserve">content as artificially generated. Watermarking is an active area of</w:t>
      </w:r>
      <w:r>
        <w:t xml:space="preserve"> </w:t>
      </w:r>
      <w:r>
        <w:t xml:space="preserve">research and is the subject of mandates emerging in jurisdictions</w:t>
      </w:r>
      <w:r>
        <w:t xml:space="preserve"> </w:t>
      </w:r>
      <w:r>
        <w:t xml:space="preserve">including the European Union, the United States, and the People’s</w:t>
      </w:r>
      <w:r>
        <w:t xml:space="preserve"> </w:t>
      </w:r>
      <w:r>
        <w:t xml:space="preserve">Republic of China.</w:t>
      </w:r>
    </w:p>
    <w:p>
      <w:pPr>
        <w:pStyle w:val="BodyText"/>
      </w:pPr>
      <w:r>
        <w:t xml:space="preserve">Watermarking is a useful tool. It is not, taken alone, an answer to</w:t>
      </w:r>
      <w:r>
        <w:t xml:space="preserve"> </w:t>
      </w:r>
      <w:r>
        <w:t xml:space="preserve">the verification problem. The principal limitations of watermarking, as</w:t>
      </w:r>
      <w:r>
        <w:t xml:space="preserve"> </w:t>
      </w:r>
      <w:r>
        <w:t xml:space="preserve">observed in the literature published between 2022 and 2025, are: (a) the</w:t>
      </w:r>
      <w:r>
        <w:t xml:space="preserve"> </w:t>
      </w:r>
      <w:r>
        <w:t xml:space="preserve">susceptibility of imperceptible watermarks to removal or degradation by</w:t>
      </w:r>
      <w:r>
        <w:t xml:space="preserve"> </w:t>
      </w:r>
      <w:r>
        <w:t xml:space="preserve">routine processing, including resizing, recompression, and modest</w:t>
      </w:r>
      <w:r>
        <w:t xml:space="preserve"> </w:t>
      </w:r>
      <w:r>
        <w:t xml:space="preserve">editing; (b) the adversarial dynamic in which the development of more</w:t>
      </w:r>
      <w:r>
        <w:t xml:space="preserve"> </w:t>
      </w:r>
      <w:r>
        <w:t xml:space="preserve">robust watermarks is followed by the development of more capable</w:t>
      </w:r>
      <w:r>
        <w:t xml:space="preserve"> </w:t>
      </w:r>
      <w:r>
        <w:t xml:space="preserve">removers; (c) the asymmetry that a producer of synthetic content with</w:t>
      </w:r>
      <w:r>
        <w:t xml:space="preserve"> </w:t>
      </w:r>
      <w:r>
        <w:t xml:space="preserve">adversarial intent is the party least likely to embed a recoverable</w:t>
      </w:r>
      <w:r>
        <w:t xml:space="preserve"> </w:t>
      </w:r>
      <w:r>
        <w:t xml:space="preserve">watermark; and (d) the structural inability of watermark-only systems to</w:t>
      </w:r>
      <w:r>
        <w:t xml:space="preserve"> </w:t>
      </w:r>
      <w:r>
        <w:t xml:space="preserve">address the question of who is responsible for a piece of content,</w:t>
      </w:r>
      <w:r>
        <w:t xml:space="preserve"> </w:t>
      </w:r>
      <w:r>
        <w:t xml:space="preserve">addressing only the question of how the content was produced.</w:t>
      </w:r>
    </w:p>
    <w:p>
      <w:pPr>
        <w:pStyle w:val="BodyText"/>
      </w:pPr>
      <w:r>
        <w:t xml:space="preserve">The Trust Identity Protocol is complementary to watermarking. The</w:t>
      </w:r>
      <w:r>
        <w:t xml:space="preserve"> </w:t>
      </w:r>
      <w:r>
        <w:t xml:space="preserve">Origin Code system described in Part V (codes OH, AA, AG, MX) is</w:t>
      </w:r>
      <w:r>
        <w:t xml:space="preserve"> </w:t>
      </w:r>
      <w:r>
        <w:t xml:space="preserve">designed to interoperate with watermark detectors. A reader of content</w:t>
      </w:r>
      <w:r>
        <w:t xml:space="preserve"> </w:t>
      </w:r>
      <w:r>
        <w:t xml:space="preserve">accompanied by a watermark indicating AI generation and a TIP-CONTENT</w:t>
      </w:r>
      <w:r>
        <w:t xml:space="preserve"> </w:t>
      </w:r>
      <w:r>
        <w:t xml:space="preserve">record signed by an accredited Verification Provider can rely on both</w:t>
      </w:r>
      <w:r>
        <w:t xml:space="preserve"> </w:t>
      </w:r>
      <w:r>
        <w:t xml:space="preserve">signals. The protocol does not require watermarking, does not provide</w:t>
      </w:r>
      <w:r>
        <w:t xml:space="preserve"> </w:t>
      </w:r>
      <w:r>
        <w:t xml:space="preserve">watermarking, and does not displace the work of organizations developing</w:t>
      </w:r>
      <w:r>
        <w:t xml:space="preserve"> </w:t>
      </w:r>
      <w:r>
        <w:t xml:space="preserve">watermarking technology.</w:t>
      </w:r>
    </w:p>
    <w:bookmarkEnd w:id="38"/>
    <w:bookmarkStart w:id="39" w:name="the-identity-gap"/>
    <w:p>
      <w:pPr>
        <w:pStyle w:val="Heading2"/>
      </w:pPr>
      <w:r>
        <w:t xml:space="preserve">1.5 The identity gap</w:t>
      </w:r>
    </w:p>
    <w:p>
      <w:pPr>
        <w:pStyle w:val="FirstParagraph"/>
      </w:pPr>
      <w:r>
        <w:t xml:space="preserve">Provenance standards address the question: where did this content</w:t>
      </w:r>
      <w:r>
        <w:t xml:space="preserve"> </w:t>
      </w:r>
      <w:r>
        <w:t xml:space="preserve">come from. Watermarking addresses the question: how was this content</w:t>
      </w:r>
      <w:r>
        <w:t xml:space="preserve"> </w:t>
      </w:r>
      <w:r>
        <w:t xml:space="preserve">produced. Neither, in present form, addresses a third question on which</w:t>
      </w:r>
      <w:r>
        <w:t xml:space="preserve"> </w:t>
      </w:r>
      <w:r>
        <w:t xml:space="preserve">the verifiable internet depends: who is responsible for this</w:t>
      </w:r>
      <w:r>
        <w:t xml:space="preserve"> </w:t>
      </w:r>
      <w:r>
        <w:t xml:space="preserve">content.</w:t>
      </w:r>
    </w:p>
    <w:p>
      <w:pPr>
        <w:pStyle w:val="BodyText"/>
      </w:pPr>
      <w:r>
        <w:t xml:space="preserve">The Trust Identity Protocol places that third question at its center.</w:t>
      </w:r>
      <w:r>
        <w:t xml:space="preserve"> </w:t>
      </w:r>
      <w:r>
        <w:t xml:space="preserve">A unit of content bearing a TIP-CONTENT record is bound, by</w:t>
      </w:r>
      <w:r>
        <w:t xml:space="preserve"> </w:t>
      </w:r>
      <w:r>
        <w:t xml:space="preserve">cryptographic signature, to a CTID. The CTID is in turn issued by a</w:t>
      </w:r>
      <w:r>
        <w:t xml:space="preserve"> </w:t>
      </w:r>
      <w:r>
        <w:t xml:space="preserve">Verification Provider, accredited by an independent multi-stakeholder</w:t>
      </w:r>
      <w:r>
        <w:t xml:space="preserve"> </w:t>
      </w:r>
      <w:r>
        <w:t xml:space="preserve">governance body, operating under audit, transparency, and warrant canary</w:t>
      </w:r>
      <w:r>
        <w:t xml:space="preserve"> </w:t>
      </w:r>
      <w:r>
        <w:t xml:space="preserve">commitments described in Part X. The reader, the platform, the</w:t>
      </w:r>
      <w:r>
        <w:t xml:space="preserve"> </w:t>
      </w:r>
      <w:r>
        <w:t xml:space="preserve">journalist, the regulator, and the court may, from a TIP-CONTENT record,</w:t>
      </w:r>
      <w:r>
        <w:t xml:space="preserve"> </w:t>
      </w:r>
      <w:r>
        <w:t xml:space="preserve">ascertain (a) that a particular CTID signed the content, (b) that the</w:t>
      </w:r>
      <w:r>
        <w:t xml:space="preserve"> </w:t>
      </w:r>
      <w:r>
        <w:t xml:space="preserve">CTID has not been suspended or revoked, (c) the reputation score of the</w:t>
      </w:r>
      <w:r>
        <w:t xml:space="preserve"> </w:t>
      </w:r>
      <w:r>
        <w:t xml:space="preserve">signing CTID, and (d) the jurisdiction under whose law the CTID was</w:t>
      </w:r>
      <w:r>
        <w:t xml:space="preserve"> </w:t>
      </w:r>
      <w:r>
        <w:t xml:space="preserve">issued.</w:t>
      </w:r>
    </w:p>
    <w:p>
      <w:pPr>
        <w:pStyle w:val="BodyText"/>
      </w:pPr>
      <w:r>
        <w:t xml:space="preserve">The reader does not, from the TIP-CONTENT record alone, obtain the</w:t>
      </w:r>
      <w:r>
        <w:t xml:space="preserve"> </w:t>
      </w:r>
      <w:r>
        <w:t xml:space="preserve">real-world identity of the signer. The CTID is a pseudonymous</w:t>
      </w:r>
      <w:r>
        <w:t xml:space="preserve"> </w:t>
      </w:r>
      <w:r>
        <w:t xml:space="preserve">identifier. The mapping between the CTID and the real-world identity of</w:t>
      </w:r>
      <w:r>
        <w:t xml:space="preserve"> </w:t>
      </w:r>
      <w:r>
        <w:t xml:space="preserve">the holder is maintained by the Verification Provider, subject to the</w:t>
      </w:r>
      <w:r>
        <w:t xml:space="preserve"> </w:t>
      </w:r>
      <w:r>
        <w:t xml:space="preserve">disclosure obligations imposed by applicable law and by the legal</w:t>
      </w:r>
      <w:r>
        <w:t xml:space="preserve"> </w:t>
      </w:r>
      <w:r>
        <w:t xml:space="preserve">process of the Verification Provider’s jurisdiction. The protocol</w:t>
      </w:r>
      <w:r>
        <w:t xml:space="preserve"> </w:t>
      </w:r>
      <w:r>
        <w:t xml:space="preserve">therefore supplies accountability without surveillance: a CTID can be</w:t>
      </w:r>
      <w:r>
        <w:t xml:space="preserve"> </w:t>
      </w:r>
      <w:r>
        <w:t xml:space="preserve">held to account through the suspension, revocation, and adjudication</w:t>
      </w:r>
      <w:r>
        <w:t xml:space="preserve"> </w:t>
      </w:r>
      <w:r>
        <w:t xml:space="preserve">mechanisms of the protocol; the real-world identity of the holder is</w:t>
      </w:r>
      <w:r>
        <w:t xml:space="preserve"> </w:t>
      </w:r>
      <w:r>
        <w:t xml:space="preserve">disclosed only through the legal process of an identified</w:t>
      </w:r>
      <w:r>
        <w:t xml:space="preserve"> </w:t>
      </w:r>
      <w:r>
        <w:t xml:space="preserve">jurisdiction.</w:t>
      </w:r>
    </w:p>
    <w:bookmarkEnd w:id="39"/>
    <w:bookmarkStart w:id="40" w:name="requirements-for-a-durable-solution"/>
    <w:p>
      <w:pPr>
        <w:pStyle w:val="Heading2"/>
      </w:pPr>
      <w:r>
        <w:t xml:space="preserve">1.6 Requirements for a durable solution</w:t>
      </w:r>
    </w:p>
    <w:p>
      <w:pPr>
        <w:pStyle w:val="FirstParagraph"/>
      </w:pPr>
      <w:r>
        <w:t xml:space="preserve">From the analysis in Sections 1.1 through 1.5, eight requirements</w:t>
      </w:r>
      <w:r>
        <w:t xml:space="preserve"> </w:t>
      </w:r>
      <w:r>
        <w:t xml:space="preserve">emerge that any durable solution to the verification problem must</w:t>
      </w:r>
      <w:r>
        <w:t xml:space="preserve"> </w:t>
      </w:r>
      <w:r>
        <w:t xml:space="preserve">satisfy. The Trust Identity Protocol is designed against these</w:t>
      </w:r>
      <w:r>
        <w:t xml:space="preserve"> </w:t>
      </w:r>
      <w:r>
        <w:t xml:space="preserve">requirements; the design of the protocol in Parts II through VIII is</w:t>
      </w:r>
      <w:r>
        <w:t xml:space="preserve"> </w:t>
      </w:r>
      <w:r>
        <w:t xml:space="preserve">best understood as the protocol’s response to them.</w:t>
      </w:r>
    </w:p>
    <w:p>
      <w:pPr>
        <w:numPr>
          <w:ilvl w:val="0"/>
          <w:numId w:val="1004"/>
        </w:numPr>
      </w:pPr>
      <w:r>
        <w:rPr>
          <w:b/>
          <w:bCs/>
        </w:rPr>
        <w:t xml:space="preserve">Decentralization.</w:t>
      </w:r>
      <w:r>
        <w:t xml:space="preserve"> </w:t>
      </w:r>
      <w:r>
        <w:t xml:space="preserve">No single platform, no single</w:t>
      </w:r>
      <w:r>
        <w:t xml:space="preserve"> </w:t>
      </w:r>
      <w:r>
        <w:t xml:space="preserve">corporation, no single jurisdiction holds the trust signal. Identity</w:t>
      </w:r>
      <w:r>
        <w:t xml:space="preserve"> </w:t>
      </w:r>
      <w:r>
        <w:t xml:space="preserve">verification is distributed across a federation of accredited</w:t>
      </w:r>
      <w:r>
        <w:t xml:space="preserve"> </w:t>
      </w:r>
      <w:r>
        <w:t xml:space="preserve">Verification Providers in multiple jurisdictions. The record of signed</w:t>
      </w:r>
      <w:r>
        <w:t xml:space="preserve"> </w:t>
      </w:r>
      <w:r>
        <w:t xml:space="preserve">events is distributed across a federation of Node Operators in multiple</w:t>
      </w:r>
      <w:r>
        <w:t xml:space="preserve"> </w:t>
      </w:r>
      <w:r>
        <w:t xml:space="preserve">jurisdictions.</w:t>
      </w:r>
    </w:p>
    <w:p>
      <w:pPr>
        <w:numPr>
          <w:ilvl w:val="0"/>
          <w:numId w:val="1004"/>
        </w:numPr>
      </w:pPr>
      <w:r>
        <w:rPr>
          <w:b/>
          <w:bCs/>
        </w:rPr>
        <w:t xml:space="preserve">Independence of governance.</w:t>
      </w:r>
      <w:r>
        <w:t xml:space="preserve"> </w:t>
      </w:r>
      <w:r>
        <w:t xml:space="preserve">The body that</w:t>
      </w:r>
      <w:r>
        <w:t xml:space="preserve"> </w:t>
      </w:r>
      <w:r>
        <w:t xml:space="preserve">ratifies protocol changes, accredits Verification Providers, and</w:t>
      </w:r>
      <w:r>
        <w:t xml:space="preserve"> </w:t>
      </w:r>
      <w:r>
        <w:t xml:space="preserve">supervises enforcement is institutionally independent of any single</w:t>
      </w:r>
      <w:r>
        <w:t xml:space="preserve"> </w:t>
      </w:r>
      <w:r>
        <w:t xml:space="preserve">commercial operator, including the publisher of the protocol.</w:t>
      </w:r>
    </w:p>
    <w:p>
      <w:pPr>
        <w:numPr>
          <w:ilvl w:val="0"/>
          <w:numId w:val="1004"/>
        </w:numPr>
      </w:pPr>
      <w:r>
        <w:rPr>
          <w:b/>
          <w:bCs/>
        </w:rPr>
        <w:t xml:space="preserve">Cryptographic verifiability.</w:t>
      </w:r>
      <w:r>
        <w:t xml:space="preserve"> </w:t>
      </w:r>
      <w:r>
        <w:t xml:space="preserve">Trust signals are</w:t>
      </w:r>
      <w:r>
        <w:t xml:space="preserve"> </w:t>
      </w:r>
      <w:r>
        <w:t xml:space="preserve">bound to content by cryptographic signature. A reader, with software</w:t>
      </w:r>
      <w:r>
        <w:t xml:space="preserve"> </w:t>
      </w:r>
      <w:r>
        <w:t xml:space="preserve">conformant to the protocol, can verify the signal without trusting the</w:t>
      </w:r>
      <w:r>
        <w:t xml:space="preserve"> </w:t>
      </w:r>
      <w:r>
        <w:t xml:space="preserve">platform on which the content is encountered.</w:t>
      </w:r>
    </w:p>
    <w:p>
      <w:pPr>
        <w:numPr>
          <w:ilvl w:val="0"/>
          <w:numId w:val="1004"/>
        </w:numPr>
      </w:pPr>
      <w:r>
        <w:rPr>
          <w:b/>
          <w:bCs/>
        </w:rPr>
        <w:t xml:space="preserve">Post-quantum durability.</w:t>
      </w:r>
      <w:r>
        <w:t xml:space="preserve"> </w:t>
      </w:r>
      <w:r>
        <w:t xml:space="preserve">Cryptographic</w:t>
      </w:r>
      <w:r>
        <w:t xml:space="preserve"> </w:t>
      </w:r>
      <w:r>
        <w:t xml:space="preserve">primitives are selected from the standards published by the United</w:t>
      </w:r>
      <w:r>
        <w:t xml:space="preserve"> </w:t>
      </w:r>
      <w:r>
        <w:t xml:space="preserve">States National Institute of Standards and Technology for resistance to</w:t>
      </w:r>
      <w:r>
        <w:t xml:space="preserve"> </w:t>
      </w:r>
      <w:r>
        <w:t xml:space="preserve">attack by quantum computing (FIPS 203, FIPS 204, FIPS 205). Signatures</w:t>
      </w:r>
      <w:r>
        <w:t xml:space="preserve"> </w:t>
      </w:r>
      <w:r>
        <w:t xml:space="preserve">generated today are designed to remain verifiable and unforgeable across</w:t>
      </w:r>
      <w:r>
        <w:t xml:space="preserve"> </w:t>
      </w:r>
      <w:r>
        <w:t xml:space="preserve">the working life of the records being signed.</w:t>
      </w:r>
    </w:p>
    <w:p>
      <w:pPr>
        <w:numPr>
          <w:ilvl w:val="0"/>
          <w:numId w:val="1004"/>
        </w:numPr>
      </w:pPr>
      <w:r>
        <w:rPr>
          <w:b/>
          <w:bCs/>
        </w:rPr>
        <w:t xml:space="preserve">Pseudonymity with accountability.</w:t>
      </w:r>
      <w:r>
        <w:t xml:space="preserve"> </w:t>
      </w:r>
      <w:r>
        <w:t xml:space="preserve">Identity</w:t>
      </w:r>
      <w:r>
        <w:t xml:space="preserve"> </w:t>
      </w:r>
      <w:r>
        <w:t xml:space="preserve">verification produces a pseudonymous identifier. The pseudonymous</w:t>
      </w:r>
      <w:r>
        <w:t xml:space="preserve"> </w:t>
      </w:r>
      <w:r>
        <w:t xml:space="preserve">identifier may be held to account by suspension, revocation, and</w:t>
      </w:r>
      <w:r>
        <w:t xml:space="preserve"> </w:t>
      </w:r>
      <w:r>
        <w:t xml:space="preserve">adjudication within the protocol. Disclosure of the real-world identity</w:t>
      </w:r>
      <w:r>
        <w:t xml:space="preserve"> </w:t>
      </w:r>
      <w:r>
        <w:t xml:space="preserve">of the holder occurs only through the legal process of the jurisdiction</w:t>
      </w:r>
      <w:r>
        <w:t xml:space="preserve"> </w:t>
      </w:r>
      <w:r>
        <w:t xml:space="preserve">in which the issuing Verification Provider operates.</w:t>
      </w:r>
    </w:p>
    <w:p>
      <w:pPr>
        <w:numPr>
          <w:ilvl w:val="0"/>
          <w:numId w:val="1004"/>
        </w:numPr>
      </w:pPr>
      <w:r>
        <w:rPr>
          <w:b/>
          <w:bCs/>
        </w:rPr>
        <w:t xml:space="preserve">Portability.</w:t>
      </w:r>
      <w:r>
        <w:t xml:space="preserve"> </w:t>
      </w:r>
      <w:r>
        <w:t xml:space="preserve">Trust signals are portable across</w:t>
      </w:r>
      <w:r>
        <w:t xml:space="preserve"> </w:t>
      </w:r>
      <w:r>
        <w:t xml:space="preserve">platforms, surfaces, and jurisdictions. A CTID issued in one</w:t>
      </w:r>
      <w:r>
        <w:t xml:space="preserve"> </w:t>
      </w:r>
      <w:r>
        <w:t xml:space="preserve">jurisdiction is recognized by readers, platforms, publishers, and</w:t>
      </w:r>
      <w:r>
        <w:t xml:space="preserve"> </w:t>
      </w:r>
      <w:r>
        <w:t xml:space="preserve">regulators in other jurisdictions, subject to the legal interoperability</w:t>
      </w:r>
      <w:r>
        <w:t xml:space="preserve"> </w:t>
      </w:r>
      <w:r>
        <w:t xml:space="preserve">frameworks established in Part IX.</w:t>
      </w:r>
    </w:p>
    <w:p>
      <w:pPr>
        <w:numPr>
          <w:ilvl w:val="0"/>
          <w:numId w:val="1004"/>
        </w:numPr>
      </w:pPr>
      <w:r>
        <w:rPr>
          <w:b/>
          <w:bCs/>
        </w:rPr>
        <w:t xml:space="preserve">Append-only public record.</w:t>
      </w:r>
      <w:r>
        <w:t xml:space="preserve"> </w:t>
      </w:r>
      <w:r>
        <w:t xml:space="preserve">Signed content</w:t>
      </w:r>
      <w:r>
        <w:t xml:space="preserve"> </w:t>
      </w:r>
      <w:r>
        <w:t xml:space="preserve">fingerprints are recorded on a public, append-only directed acyclic</w:t>
      </w:r>
      <w:r>
        <w:t xml:space="preserve"> </w:t>
      </w:r>
      <w:r>
        <w:t xml:space="preserve">graph maintained by the federation of Node Operators. Any interested</w:t>
      </w:r>
      <w:r>
        <w:t xml:space="preserve"> </w:t>
      </w:r>
      <w:r>
        <w:t xml:space="preserve">party may inspect the population of signed records and may obtain a</w:t>
      </w:r>
      <w:r>
        <w:t xml:space="preserve"> </w:t>
      </w:r>
      <w:r>
        <w:t xml:space="preserve">verifiable history of the suspensions, revocations, and adjudications</w:t>
      </w:r>
      <w:r>
        <w:t xml:space="preserve"> </w:t>
      </w:r>
      <w:r>
        <w:t xml:space="preserve">that have affected a given CTID.</w:t>
      </w:r>
    </w:p>
    <w:p>
      <w:pPr>
        <w:numPr>
          <w:ilvl w:val="0"/>
          <w:numId w:val="1004"/>
        </w:numPr>
      </w:pPr>
      <w:r>
        <w:rPr>
          <w:b/>
          <w:bCs/>
        </w:rPr>
        <w:t xml:space="preserve">Regulatory alignment.</w:t>
      </w:r>
      <w:r>
        <w:t xml:space="preserve"> </w:t>
      </w:r>
      <w:r>
        <w:t xml:space="preserve">The protocol is designed</w:t>
      </w:r>
      <w:r>
        <w:t xml:space="preserve"> </w:t>
      </w:r>
      <w:r>
        <w:t xml:space="preserve">to support the disclosure, transparency, and provenance obligations</w:t>
      </w:r>
      <w:r>
        <w:t xml:space="preserve"> </w:t>
      </w:r>
      <w:r>
        <w:t xml:space="preserve">imposed by applicable law on producers, distributors, and platforms</w:t>
      </w:r>
      <w:r>
        <w:t xml:space="preserve"> </w:t>
      </w:r>
      <w:r>
        <w:t xml:space="preserve">(including Articles 50(2) and 50(4) of the EU AI Act, Section 12 of the</w:t>
      </w:r>
      <w:r>
        <w:t xml:space="preserve"> </w:t>
      </w:r>
      <w:r>
        <w:t xml:space="preserve">United Kingdom Online Safety Act, the California AI Transparency Act,</w:t>
      </w:r>
      <w:r>
        <w:t xml:space="preserve"> </w:t>
      </w:r>
      <w:r>
        <w:t xml:space="preserve">and analogous instruments in other jurisdictions identified in Part</w:t>
      </w:r>
      <w:r>
        <w:t xml:space="preserve"> </w:t>
      </w:r>
      <w:r>
        <w:t xml:space="preserve">IX).</w:t>
      </w:r>
    </w:p>
    <w:bookmarkEnd w:id="40"/>
    <w:bookmarkStart w:id="41" w:name="comparative-analysis"/>
    <w:p>
      <w:pPr>
        <w:pStyle w:val="Heading2"/>
      </w:pPr>
      <w:r>
        <w:t xml:space="preserve">1.7 Comparative analysis</w:t>
      </w:r>
    </w:p>
    <w:p>
      <w:pPr>
        <w:pStyle w:val="FirstParagraph"/>
      </w:pPr>
      <w:r>
        <w:t xml:space="preserve">The following table summarizes the principal differences between the</w:t>
      </w:r>
      <w:r>
        <w:t xml:space="preserve"> </w:t>
      </w:r>
      <w:r>
        <w:t xml:space="preserve">Trust Identity Protocol and other systems addressing aspects of the</w:t>
      </w:r>
      <w:r>
        <w:t xml:space="preserve"> </w:t>
      </w:r>
      <w:r>
        <w:t xml:space="preserve">verification problem. The comparison is descriptive, not evaluative;</w:t>
      </w:r>
      <w:r>
        <w:t xml:space="preserve"> </w:t>
      </w:r>
      <w:r>
        <w:t xml:space="preserve">each of the compared systems is the product of substantial work and</w:t>
      </w:r>
      <w:r>
        <w:t xml:space="preserve"> </w:t>
      </w:r>
      <w:r>
        <w:t xml:space="preserve">serves purposes for which it may be better suited than the Trust</w:t>
      </w:r>
      <w:r>
        <w:t xml:space="preserve"> </w:t>
      </w:r>
      <w:r>
        <w:t xml:space="preserve">Identity Protocol.</w:t>
      </w:r>
    </w:p>
    <w:p>
      <w:pPr>
        <w:pStyle w:val="BodyText"/>
      </w:pPr>
      <w:r>
        <w:t xml:space="preserve">In the table below, columns labelled</w:t>
      </w:r>
      <w:r>
        <w:t xml:space="preserve"> </w:t>
      </w:r>
      <w:r>
        <w:t xml:space="preserve">“Adobe CAI”</w:t>
      </w:r>
      <w:r>
        <w:t xml:space="preserve">,</w:t>
      </w:r>
      <w:r>
        <w:t xml:space="preserve"> </w:t>
      </w:r>
      <w:r>
        <w:t xml:space="preserve">“Bluesky AT”</w:t>
      </w:r>
      <w:r>
        <w:t xml:space="preserve">, and</w:t>
      </w:r>
      <w:r>
        <w:t xml:space="preserve"> </w:t>
      </w:r>
      <w:r>
        <w:t xml:space="preserve">“Platform-native”</w:t>
      </w:r>
      <w:r>
        <w:t xml:space="preserve"> </w:t>
      </w:r>
      <w:r>
        <w:t xml:space="preserve">refer respectively to the Adobe Content</w:t>
      </w:r>
      <w:r>
        <w:t xml:space="preserve"> </w:t>
      </w:r>
      <w:r>
        <w:t xml:space="preserve">Authenticity Initiative, the Bluesky AT Protocol identity layer, and</w:t>
      </w:r>
      <w:r>
        <w:t xml:space="preserve"> </w:t>
      </w:r>
      <w:r>
        <w:t xml:space="preserve">platform-native trust signals operated by individual platforms. Cell</w:t>
      </w:r>
      <w:r>
        <w:t xml:space="preserve"> </w:t>
      </w:r>
      <w:r>
        <w:t xml:space="preserve">abbreviations: VPs = Verification Providers; PQC = NIST post-quantum</w:t>
      </w:r>
      <w:r>
        <w:t xml:space="preserve"> </w:t>
      </w:r>
      <w:r>
        <w:t xml:space="preserve">cryptography (FIPS 203, 204, 205); DAG = the protocol’s append-only</w:t>
      </w:r>
      <w:r>
        <w:t xml:space="preserve"> </w:t>
      </w:r>
      <w:r>
        <w:t xml:space="preserve">directed acyclic graph; Council = the AI Trust Council; Seal = the</w:t>
      </w:r>
      <w:r>
        <w:t xml:space="preserve"> </w:t>
      </w:r>
      <w:r>
        <w:t xml:space="preserve">Global Seal of Trust; DID = decentralized identifier; membership =</w:t>
      </w:r>
      <w:r>
        <w:t xml:space="preserve"> </w:t>
      </w:r>
      <w:r>
        <w:t xml:space="preserve">C2PA membership.</w:t>
      </w:r>
    </w:p>
    <w:tbl>
      <w:tblPr>
        <w:tblStyle w:val="Table"/>
        <w:tblW w:type="pct" w:w="5000"/>
        <w:tblLayout w:type="fixed"/>
        <w:tblLook w:firstRow="1" w:lastRow="0" w:firstColumn="0" w:lastColumn="0" w:noHBand="0" w:noVBand="0" w:val="0020"/>
      </w:tblPr>
      <w:tblGrid>
        <w:gridCol w:w="2784"/>
        <w:gridCol w:w="1113"/>
        <w:gridCol w:w="990"/>
        <w:gridCol w:w="990"/>
        <w:gridCol w:w="990"/>
        <w:gridCol w:w="1051"/>
      </w:tblGrid>
      <w:tr>
        <w:trPr>
          <w:tblHeader w:val="on"/>
        </w:trPr>
        <w:tc>
          <w:tcPr/>
          <w:p>
            <w:pPr>
              <w:pStyle w:val="Compact"/>
            </w:pPr>
            <w:r>
              <w:t xml:space="preserve">Property</w:t>
            </w:r>
          </w:p>
        </w:tc>
        <w:tc>
          <w:tcPr/>
          <w:p>
            <w:pPr>
              <w:pStyle w:val="Compact"/>
            </w:pPr>
            <w:r>
              <w:t xml:space="preserve">TIP</w:t>
            </w:r>
          </w:p>
        </w:tc>
        <w:tc>
          <w:tcPr/>
          <w:p>
            <w:pPr>
              <w:pStyle w:val="Compact"/>
            </w:pPr>
            <w:r>
              <w:t xml:space="preserve">C2PA</w:t>
            </w:r>
          </w:p>
        </w:tc>
        <w:tc>
          <w:tcPr/>
          <w:p>
            <w:pPr>
              <w:pStyle w:val="Compact"/>
            </w:pPr>
            <w:r>
              <w:t xml:space="preserve">Adobe CAI</w:t>
            </w:r>
          </w:p>
        </w:tc>
        <w:tc>
          <w:tcPr/>
          <w:p>
            <w:pPr>
              <w:pStyle w:val="Compact"/>
            </w:pPr>
            <w:r>
              <w:t xml:space="preserve">Bluesky AT</w:t>
            </w:r>
          </w:p>
        </w:tc>
        <w:tc>
          <w:tcPr/>
          <w:p>
            <w:pPr>
              <w:pStyle w:val="Compact"/>
            </w:pPr>
            <w:r>
              <w:t xml:space="preserve">Platform-native</w:t>
            </w:r>
          </w:p>
        </w:tc>
      </w:tr>
      <w:tr>
        <w:tc>
          <w:tcPr/>
          <w:p>
            <w:pPr>
              <w:pStyle w:val="Compact"/>
            </w:pPr>
            <w:r>
              <w:t xml:space="preserve">Cryptographic content binding</w:t>
            </w:r>
          </w:p>
        </w:tc>
        <w:tc>
          <w:tcPr/>
          <w:p>
            <w:pPr>
              <w:pStyle w:val="Compact"/>
            </w:pPr>
            <w:r>
              <w:t xml:space="preserve">Yes (CNA-2.2)</w:t>
            </w:r>
          </w:p>
        </w:tc>
        <w:tc>
          <w:tcPr/>
          <w:p>
            <w:pPr>
              <w:pStyle w:val="Compact"/>
            </w:pPr>
            <w:r>
              <w:t xml:space="preserve">Yes (manifest)</w:t>
            </w:r>
          </w:p>
        </w:tc>
        <w:tc>
          <w:tcPr/>
          <w:p>
            <w:pPr>
              <w:pStyle w:val="Compact"/>
            </w:pPr>
            <w:r>
              <w:t xml:space="preserve">Yes (manifest)</w:t>
            </w:r>
          </w:p>
        </w:tc>
        <w:tc>
          <w:tcPr/>
          <w:p>
            <w:pPr>
              <w:pStyle w:val="Compact"/>
            </w:pPr>
            <w:r>
              <w:t xml:space="preserve">Partial</w:t>
            </w:r>
          </w:p>
        </w:tc>
        <w:tc>
          <w:tcPr/>
          <w:p>
            <w:pPr>
              <w:pStyle w:val="Compact"/>
            </w:pPr>
            <w:r>
              <w:t xml:space="preserve">No</w:t>
            </w:r>
          </w:p>
        </w:tc>
      </w:tr>
      <w:tr>
        <w:tc>
          <w:tcPr/>
          <w:p>
            <w:pPr>
              <w:pStyle w:val="Compact"/>
            </w:pPr>
            <w:r>
              <w:t xml:space="preserve">Federated identity issuance</w:t>
            </w:r>
          </w:p>
        </w:tc>
        <w:tc>
          <w:tcPr/>
          <w:p>
            <w:pPr>
              <w:pStyle w:val="Compact"/>
            </w:pPr>
            <w:r>
              <w:t xml:space="preserve">Yes (VPs)</w:t>
            </w:r>
          </w:p>
        </w:tc>
        <w:tc>
          <w:tcPr/>
          <w:p>
            <w:pPr>
              <w:pStyle w:val="Compact"/>
            </w:pPr>
            <w:r>
              <w:t xml:space="preserve">Partial</w:t>
            </w:r>
          </w:p>
        </w:tc>
        <w:tc>
          <w:tcPr/>
          <w:p>
            <w:pPr>
              <w:pStyle w:val="Compact"/>
            </w:pPr>
            <w:r>
              <w:t xml:space="preserve">Partial</w:t>
            </w:r>
          </w:p>
        </w:tc>
        <w:tc>
          <w:tcPr/>
          <w:p>
            <w:pPr>
              <w:pStyle w:val="Compact"/>
            </w:pPr>
            <w:r>
              <w:t xml:space="preserve">Yes (DID)</w:t>
            </w:r>
          </w:p>
        </w:tc>
        <w:tc>
          <w:tcPr/>
          <w:p>
            <w:pPr>
              <w:pStyle w:val="Compact"/>
            </w:pPr>
            <w:r>
              <w:t xml:space="preserve">No</w:t>
            </w:r>
          </w:p>
        </w:tc>
      </w:tr>
      <w:tr>
        <w:tc>
          <w:tcPr/>
          <w:p>
            <w:pPr>
              <w:pStyle w:val="Compact"/>
            </w:pPr>
            <w:r>
              <w:t xml:space="preserve">Pseudonymous identifier</w:t>
            </w:r>
          </w:p>
        </w:tc>
        <w:tc>
          <w:tcPr/>
          <w:p>
            <w:pPr>
              <w:pStyle w:val="Compact"/>
            </w:pPr>
            <w:r>
              <w:t xml:space="preserve">Yes (CTID)</w:t>
            </w:r>
          </w:p>
        </w:tc>
        <w:tc>
          <w:tcPr/>
          <w:p>
            <w:pPr>
              <w:pStyle w:val="Compact"/>
            </w:pPr>
            <w:r>
              <w:t xml:space="preserve">No</w:t>
            </w:r>
          </w:p>
        </w:tc>
        <w:tc>
          <w:tcPr/>
          <w:p>
            <w:pPr>
              <w:pStyle w:val="Compact"/>
            </w:pPr>
            <w:r>
              <w:t xml:space="preserve">No</w:t>
            </w:r>
          </w:p>
        </w:tc>
        <w:tc>
          <w:tcPr/>
          <w:p>
            <w:pPr>
              <w:pStyle w:val="Compact"/>
            </w:pPr>
            <w:r>
              <w:t xml:space="preserve">Yes (DID)</w:t>
            </w:r>
          </w:p>
        </w:tc>
        <w:tc>
          <w:tcPr/>
          <w:p>
            <w:pPr>
              <w:pStyle w:val="Compact"/>
            </w:pPr>
            <w:r>
              <w:t xml:space="preserve">No</w:t>
            </w:r>
          </w:p>
        </w:tc>
      </w:tr>
      <w:tr>
        <w:tc>
          <w:tcPr/>
          <w:p>
            <w:pPr>
              <w:pStyle w:val="Compact"/>
            </w:pPr>
            <w:r>
              <w:t xml:space="preserve">Post-quantum primitives</w:t>
            </w:r>
          </w:p>
        </w:tc>
        <w:tc>
          <w:tcPr/>
          <w:p>
            <w:pPr>
              <w:pStyle w:val="Compact"/>
            </w:pPr>
            <w:r>
              <w:t xml:space="preserve">Yes (PQC)</w:t>
            </w:r>
          </w:p>
        </w:tc>
        <w:tc>
          <w:tcPr/>
          <w:p>
            <w:pPr>
              <w:pStyle w:val="Compact"/>
            </w:pPr>
            <w:r>
              <w:t xml:space="preserve">No</w:t>
            </w:r>
          </w:p>
        </w:tc>
        <w:tc>
          <w:tcPr/>
          <w:p>
            <w:pPr>
              <w:pStyle w:val="Compact"/>
            </w:pPr>
            <w:r>
              <w:t xml:space="preserve">No</w:t>
            </w:r>
          </w:p>
        </w:tc>
        <w:tc>
          <w:tcPr/>
          <w:p>
            <w:pPr>
              <w:pStyle w:val="Compact"/>
            </w:pPr>
            <w:r>
              <w:t xml:space="preserve">No</w:t>
            </w:r>
          </w:p>
        </w:tc>
        <w:tc>
          <w:tcPr/>
          <w:p>
            <w:pPr>
              <w:pStyle w:val="Compact"/>
            </w:pPr>
            <w:r>
              <w:t xml:space="preserve">No</w:t>
            </w:r>
          </w:p>
        </w:tc>
      </w:tr>
      <w:tr>
        <w:tc>
          <w:tcPr/>
          <w:p>
            <w:pPr>
              <w:pStyle w:val="Compact"/>
            </w:pPr>
            <w:r>
              <w:t xml:space="preserve">Public append-only ledger of signed events</w:t>
            </w:r>
          </w:p>
        </w:tc>
        <w:tc>
          <w:tcPr/>
          <w:p>
            <w:pPr>
              <w:pStyle w:val="Compact"/>
            </w:pPr>
            <w:r>
              <w:t xml:space="preserve">Yes (DAG)</w:t>
            </w:r>
          </w:p>
        </w:tc>
        <w:tc>
          <w:tcPr/>
          <w:p>
            <w:pPr>
              <w:pStyle w:val="Compact"/>
            </w:pPr>
            <w:r>
              <w:t xml:space="preserve">No</w:t>
            </w:r>
          </w:p>
        </w:tc>
        <w:tc>
          <w:tcPr/>
          <w:p>
            <w:pPr>
              <w:pStyle w:val="Compact"/>
            </w:pPr>
            <w:r>
              <w:t xml:space="preserve">No</w:t>
            </w:r>
          </w:p>
        </w:tc>
        <w:tc>
          <w:tcPr/>
          <w:p>
            <w:pPr>
              <w:pStyle w:val="Compact"/>
            </w:pPr>
            <w:r>
              <w:t xml:space="preserve">Partial</w:t>
            </w:r>
          </w:p>
        </w:tc>
        <w:tc>
          <w:tcPr/>
          <w:p>
            <w:pPr>
              <w:pStyle w:val="Compact"/>
            </w:pPr>
            <w:r>
              <w:t xml:space="preserve">No</w:t>
            </w:r>
          </w:p>
        </w:tc>
      </w:tr>
      <w:tr>
        <w:tc>
          <w:tcPr/>
          <w:p>
            <w:pPr>
              <w:pStyle w:val="Compact"/>
            </w:pPr>
            <w:r>
              <w:t xml:space="preserve">Reputation scoring layer</w:t>
            </w:r>
          </w:p>
        </w:tc>
        <w:tc>
          <w:tcPr/>
          <w:p>
            <w:pPr>
              <w:pStyle w:val="Compact"/>
            </w:pPr>
            <w:r>
              <w:t xml:space="preserve">Yes (Trust)</w:t>
            </w:r>
          </w:p>
        </w:tc>
        <w:tc>
          <w:tcPr/>
          <w:p>
            <w:pPr>
              <w:pStyle w:val="Compact"/>
            </w:pPr>
            <w:r>
              <w:t xml:space="preserve">No</w:t>
            </w:r>
          </w:p>
        </w:tc>
        <w:tc>
          <w:tcPr/>
          <w:p>
            <w:pPr>
              <w:pStyle w:val="Compact"/>
            </w:pPr>
            <w:r>
              <w:t xml:space="preserve">No</w:t>
            </w:r>
          </w:p>
        </w:tc>
        <w:tc>
          <w:tcPr/>
          <w:p>
            <w:pPr>
              <w:pStyle w:val="Compact"/>
            </w:pPr>
            <w:r>
              <w:t xml:space="preserve">Partial</w:t>
            </w:r>
          </w:p>
        </w:tc>
        <w:tc>
          <w:tcPr/>
          <w:p>
            <w:pPr>
              <w:pStyle w:val="Compact"/>
            </w:pPr>
            <w:r>
              <w:t xml:space="preserve">Yes</w:t>
            </w:r>
          </w:p>
        </w:tc>
      </w:tr>
      <w:tr>
        <w:tc>
          <w:tcPr/>
          <w:p>
            <w:pPr>
              <w:pStyle w:val="Compact"/>
            </w:pPr>
            <w:r>
              <w:t xml:space="preserve">Independent governance body</w:t>
            </w:r>
          </w:p>
        </w:tc>
        <w:tc>
          <w:tcPr/>
          <w:p>
            <w:pPr>
              <w:pStyle w:val="Compact"/>
            </w:pPr>
            <w:r>
              <w:t xml:space="preserve">Yes (Council)</w:t>
            </w:r>
          </w:p>
        </w:tc>
        <w:tc>
          <w:tcPr/>
          <w:p>
            <w:pPr>
              <w:pStyle w:val="Compact"/>
            </w:pPr>
            <w:r>
              <w:t xml:space="preserve">Yes (member)</w:t>
            </w:r>
          </w:p>
        </w:tc>
        <w:tc>
          <w:tcPr/>
          <w:p>
            <w:pPr>
              <w:pStyle w:val="Compact"/>
            </w:pPr>
            <w:r>
              <w:t xml:space="preserve">No</w:t>
            </w:r>
          </w:p>
        </w:tc>
        <w:tc>
          <w:tcPr/>
          <w:p>
            <w:pPr>
              <w:pStyle w:val="Compact"/>
            </w:pPr>
            <w:r>
              <w:t xml:space="preserve">Yes (Bluesky)</w:t>
            </w:r>
          </w:p>
        </w:tc>
        <w:tc>
          <w:tcPr/>
          <w:p>
            <w:pPr>
              <w:pStyle w:val="Compact"/>
            </w:pPr>
            <w:r>
              <w:t xml:space="preserve">No</w:t>
            </w:r>
          </w:p>
        </w:tc>
      </w:tr>
      <w:tr>
        <w:tc>
          <w:tcPr/>
          <w:p>
            <w:pPr>
              <w:pStyle w:val="Compact"/>
            </w:pPr>
            <w:r>
              <w:t xml:space="preserve">Cross-jurisdiction portability</w:t>
            </w:r>
          </w:p>
        </w:tc>
        <w:tc>
          <w:tcPr/>
          <w:p>
            <w:pPr>
              <w:pStyle w:val="Compact"/>
            </w:pPr>
            <w:r>
              <w:t xml:space="preserve">Yes</w:t>
            </w:r>
          </w:p>
        </w:tc>
        <w:tc>
          <w:tcPr/>
          <w:p>
            <w:pPr>
              <w:pStyle w:val="Compact"/>
            </w:pPr>
            <w:r>
              <w:t xml:space="preserve">Yes</w:t>
            </w:r>
          </w:p>
        </w:tc>
        <w:tc>
          <w:tcPr/>
          <w:p>
            <w:pPr>
              <w:pStyle w:val="Compact"/>
            </w:pPr>
            <w:r>
              <w:t xml:space="preserve">Yes</w:t>
            </w:r>
          </w:p>
        </w:tc>
        <w:tc>
          <w:tcPr/>
          <w:p>
            <w:pPr>
              <w:pStyle w:val="Compact"/>
            </w:pPr>
            <w:r>
              <w:t xml:space="preserve">Yes</w:t>
            </w:r>
          </w:p>
        </w:tc>
        <w:tc>
          <w:tcPr/>
          <w:p>
            <w:pPr>
              <w:pStyle w:val="Compact"/>
            </w:pPr>
            <w:r>
              <w:t xml:space="preserve">No</w:t>
            </w:r>
          </w:p>
        </w:tc>
      </w:tr>
      <w:tr>
        <w:tc>
          <w:tcPr/>
          <w:p>
            <w:pPr>
              <w:pStyle w:val="Compact"/>
            </w:pPr>
            <w:r>
              <w:t xml:space="preserve">EU AI Act Article 50 marking support</w:t>
            </w:r>
          </w:p>
        </w:tc>
        <w:tc>
          <w:tcPr/>
          <w:p>
            <w:pPr>
              <w:pStyle w:val="Compact"/>
            </w:pPr>
            <w:r>
              <w:t xml:space="preserve">Yes</w:t>
            </w:r>
          </w:p>
        </w:tc>
        <w:tc>
          <w:tcPr/>
          <w:p>
            <w:pPr>
              <w:pStyle w:val="Compact"/>
            </w:pPr>
            <w:r>
              <w:t xml:space="preserve">Partial</w:t>
            </w:r>
          </w:p>
        </w:tc>
        <w:tc>
          <w:tcPr/>
          <w:p>
            <w:pPr>
              <w:pStyle w:val="Compact"/>
            </w:pPr>
            <w:r>
              <w:t xml:space="preserve">Partial</w:t>
            </w:r>
          </w:p>
        </w:tc>
        <w:tc>
          <w:tcPr/>
          <w:p>
            <w:pPr>
              <w:pStyle w:val="Compact"/>
            </w:pPr>
            <w:r>
              <w:t xml:space="preserve">No</w:t>
            </w:r>
          </w:p>
        </w:tc>
        <w:tc>
          <w:tcPr/>
          <w:p>
            <w:pPr>
              <w:pStyle w:val="Compact"/>
            </w:pPr>
            <w:r>
              <w:t xml:space="preserve">No</w:t>
            </w:r>
          </w:p>
        </w:tc>
      </w:tr>
      <w:tr>
        <w:tc>
          <w:tcPr/>
          <w:p>
            <w:pPr>
              <w:pStyle w:val="Compact"/>
            </w:pPr>
            <w:r>
              <w:t xml:space="preserve">EU AI Act Article 50 disclosure support</w:t>
            </w:r>
          </w:p>
        </w:tc>
        <w:tc>
          <w:tcPr/>
          <w:p>
            <w:pPr>
              <w:pStyle w:val="Compact"/>
            </w:pPr>
            <w:r>
              <w:t xml:space="preserve">Yes (Seal)</w:t>
            </w:r>
          </w:p>
        </w:tc>
        <w:tc>
          <w:tcPr/>
          <w:p>
            <w:pPr>
              <w:pStyle w:val="Compact"/>
            </w:pPr>
            <w:r>
              <w:t xml:space="preserve">No</w:t>
            </w:r>
          </w:p>
        </w:tc>
        <w:tc>
          <w:tcPr/>
          <w:p>
            <w:pPr>
              <w:pStyle w:val="Compact"/>
            </w:pPr>
            <w:r>
              <w:t xml:space="preserve">No</w:t>
            </w:r>
          </w:p>
        </w:tc>
        <w:tc>
          <w:tcPr/>
          <w:p>
            <w:pPr>
              <w:pStyle w:val="Compact"/>
            </w:pPr>
            <w:r>
              <w:t xml:space="preserve">No</w:t>
            </w:r>
          </w:p>
        </w:tc>
        <w:tc>
          <w:tcPr/>
          <w:p>
            <w:pPr>
              <w:pStyle w:val="Compact"/>
            </w:pPr>
            <w:r>
              <w:t xml:space="preserve">Yes (variable)</w:t>
            </w:r>
          </w:p>
        </w:tc>
      </w:tr>
    </w:tbl>
    <w:bookmarkEnd w:id="41"/>
    <w:bookmarkStart w:id="42" w:name="scope-of-this-whitepaper"/>
    <w:p>
      <w:pPr>
        <w:pStyle w:val="Heading2"/>
      </w:pPr>
      <w:r>
        <w:t xml:space="preserve">1.8 Scope of this whitepaper</w:t>
      </w:r>
    </w:p>
    <w:p>
      <w:pPr>
        <w:pStyle w:val="FirstParagraph"/>
      </w:pPr>
      <w:r>
        <w:t xml:space="preserve">This whitepaper addresses the design and the public-policy</w:t>
      </w:r>
      <w:r>
        <w:t xml:space="preserve"> </w:t>
      </w:r>
      <w:r>
        <w:t xml:space="preserve">positioning of the Trust Identity Protocol. The detailed technical</w:t>
      </w:r>
      <w:r>
        <w:t xml:space="preserve"> </w:t>
      </w:r>
      <w:r>
        <w:t xml:space="preserve">specification of the protocol is set out in the canonical TIP Protocol</w:t>
      </w:r>
      <w:r>
        <w:t xml:space="preserve"> </w:t>
      </w:r>
      <w:r>
        <w:t xml:space="preserve">Specification, available at theailab.org, USCO Application</w:t>
      </w:r>
      <w:r>
        <w:t xml:space="preserve"> </w:t>
      </w:r>
      <w:r>
        <w:t xml:space="preserve">No. 1-15175755931 (pending). Parts II through VIII of this whitepaper</w:t>
      </w:r>
      <w:r>
        <w:t xml:space="preserve"> </w:t>
      </w:r>
      <w:r>
        <w:t xml:space="preserve">describe the protocol at a level of detail sufficient for a regulator, a</w:t>
      </w:r>
      <w:r>
        <w:t xml:space="preserve"> </w:t>
      </w:r>
      <w:r>
        <w:t xml:space="preserve">chief technology officer, a general counsel, or a principal engineer to</w:t>
      </w:r>
      <w:r>
        <w:t xml:space="preserve"> </w:t>
      </w:r>
      <w:r>
        <w:t xml:space="preserve">evaluate the protocol’s properties, classification, and regulatory</w:t>
      </w:r>
      <w:r>
        <w:t xml:space="preserve"> </w:t>
      </w:r>
      <w:r>
        <w:t xml:space="preserve">posture. A reader requiring the byte-level specification of any</w:t>
      </w:r>
      <w:r>
        <w:t xml:space="preserve"> </w:t>
      </w:r>
      <w:r>
        <w:t xml:space="preserve">component is referred to the canonical Specification.</w:t>
      </w:r>
    </w:p>
    <w:p>
      <w:r>
        <w:pict>
          <v:rect style="width:0;height:1.5pt" o:hralign="center" o:hrstd="t" o:hr="t"/>
        </w:pict>
      </w:r>
    </w:p>
    <w:p>
      <w:pPr>
        <w:pStyle w:val="FirstParagraph"/>
      </w:pPr>
      <w:r>
        <w:rPr>
          <w:b/>
          <w:bCs/>
        </w:rPr>
        <w:t xml:space="preserve">Contact The AI Lab regarding Part I</w:t>
      </w:r>
    </w:p>
    <w:p>
      <w:pPr>
        <w:pStyle w:val="BodyText"/>
      </w:pPr>
      <w:r>
        <w:t xml:space="preserve">Technical Inquiries:</w:t>
      </w:r>
      <w:r>
        <w:t xml:space="preserve"> </w:t>
      </w:r>
      <w:r>
        <w:rPr>
          <w:rStyle w:val="VerbatimChar"/>
        </w:rPr>
        <w:t xml:space="preserve">tip@theailab.org</w:t>
      </w:r>
      <w:r>
        <w:t xml:space="preserve"> </w:t>
      </w:r>
      <w:r>
        <w:t xml:space="preserve">Press and Public</w:t>
      </w:r>
      <w:r>
        <w:t xml:space="preserve"> </w:t>
      </w:r>
      <w:r>
        <w:t xml:space="preserve">Affairs:</w:t>
      </w:r>
      <w:r>
        <w:t xml:space="preserve"> </w:t>
      </w:r>
      <w:r>
        <w:rPr>
          <w:rStyle w:val="VerbatimChar"/>
        </w:rPr>
        <w:t xml:space="preserve">press@theailab.org</w:t>
      </w:r>
    </w:p>
    <w:p>
      <w:pPr>
        <w:pStyle w:val="BodyText"/>
      </w:pPr>
      <w:r>
        <w:t xml:space="preserve">The AI Lab Intelligence Unobscured, Inc. Wilmington, Delaware, United</w:t>
      </w:r>
      <w:r>
        <w:t xml:space="preserve"> </w:t>
      </w:r>
      <w:r>
        <w:t xml:space="preserve">States.</w:t>
      </w:r>
    </w:p>
    <w:bookmarkEnd w:id="42"/>
    <w:bookmarkEnd w:id="43"/>
    <w:bookmarkStart w:id="56" w:name="part-ii-design-principles"/>
    <w:p>
      <w:pPr>
        <w:pStyle w:val="Heading1"/>
      </w:pPr>
      <w:r>
        <w:t xml:space="preserve">Part II: Design Principles</w:t>
      </w:r>
    </w:p>
    <w:p>
      <w:pPr>
        <w:pStyle w:val="FirstParagraph"/>
      </w:pPr>
      <w:r>
        <w:t xml:space="preserve">This Part sets out the design principles from which the technical</w:t>
      </w:r>
      <w:r>
        <w:t xml:space="preserve"> </w:t>
      </w:r>
      <w:r>
        <w:t xml:space="preserve">layers described in Parts III through VIII are derived. The principles</w:t>
      </w:r>
      <w:r>
        <w:t xml:space="preserve"> </w:t>
      </w:r>
      <w:r>
        <w:t xml:space="preserve">are intended to be intelligible to a reader who is not a cryptographer</w:t>
      </w:r>
      <w:r>
        <w:t xml:space="preserve"> </w:t>
      </w:r>
      <w:r>
        <w:t xml:space="preserve">or a distributed systems engineer, and to be sufficient for a regulator</w:t>
      </w:r>
      <w:r>
        <w:t xml:space="preserve"> </w:t>
      </w:r>
      <w:r>
        <w:t xml:space="preserve">or a general counsel to assess the protocol’s structural character</w:t>
      </w:r>
      <w:r>
        <w:t xml:space="preserve"> </w:t>
      </w:r>
      <w:r>
        <w:t xml:space="preserve">against the principles of the regulatory landscape described in Part</w:t>
      </w:r>
      <w:r>
        <w:t xml:space="preserve"> </w:t>
      </w:r>
      <w:r>
        <w:t xml:space="preserve">IX.</w:t>
      </w:r>
    </w:p>
    <w:bookmarkStart w:id="44" w:name="X409e3c453fa49e2f4a0f467e3066c4d3dfc69cd"/>
    <w:p>
      <w:pPr>
        <w:pStyle w:val="Heading2"/>
      </w:pPr>
      <w:r>
        <w:t xml:space="preserve">2.1 Decentralized identity, federated verification</w:t>
      </w:r>
    </w:p>
    <w:p>
      <w:pPr>
        <w:pStyle w:val="FirstParagraph"/>
      </w:pPr>
      <w:r>
        <w:t xml:space="preserve">The identity layer of the Trust Identity Protocol is decentralized in</w:t>
      </w:r>
      <w:r>
        <w:t xml:space="preserve"> </w:t>
      </w:r>
      <w:r>
        <w:t xml:space="preserve">the strict sense that no single entity, including The AI Lab, holds the</w:t>
      </w:r>
      <w:r>
        <w:t xml:space="preserve"> </w:t>
      </w:r>
      <w:r>
        <w:t xml:space="preserve">universe of identifiers, controls the issuance of identifiers, or has</w:t>
      </w:r>
      <w:r>
        <w:t xml:space="preserve"> </w:t>
      </w:r>
      <w:r>
        <w:t xml:space="preserve">the power to deactivate identifiers unilaterally. Identifiers are issued</w:t>
      </w:r>
      <w:r>
        <w:t xml:space="preserve"> </w:t>
      </w:r>
      <w:r>
        <w:t xml:space="preserve">by a federation of Verification Providers operating in identified</w:t>
      </w:r>
      <w:r>
        <w:t xml:space="preserve"> </w:t>
      </w:r>
      <w:r>
        <w:t xml:space="preserve">jurisdictions under accreditations granted by the AI Trust Council on</w:t>
      </w:r>
      <w:r>
        <w:t xml:space="preserve"> </w:t>
      </w:r>
      <w:r>
        <w:t xml:space="preserve">the recommendation of The AI Lab.</w:t>
      </w:r>
    </w:p>
    <w:p>
      <w:pPr>
        <w:pStyle w:val="BodyText"/>
      </w:pPr>
      <w:r>
        <w:t xml:space="preserve">The federation is not a peer-to-peer system in which any party may</w:t>
      </w:r>
      <w:r>
        <w:t xml:space="preserve"> </w:t>
      </w:r>
      <w:r>
        <w:t xml:space="preserve">issue identifiers. The federation is a credentialed network in which a</w:t>
      </w:r>
      <w:r>
        <w:t xml:space="preserve"> </w:t>
      </w:r>
      <w:r>
        <w:t xml:space="preserve">defined population of accredited Verification Providers issues</w:t>
      </w:r>
      <w:r>
        <w:t xml:space="preserve"> </w:t>
      </w:r>
      <w:r>
        <w:t xml:space="preserve">identifiers under published criteria. This design choice has three</w:t>
      </w:r>
      <w:r>
        <w:t xml:space="preserve"> </w:t>
      </w:r>
      <w:r>
        <w:t xml:space="preserve">consequences.</w:t>
      </w:r>
    </w:p>
    <w:p>
      <w:pPr>
        <w:pStyle w:val="BodyText"/>
      </w:pPr>
      <w:r>
        <w:t xml:space="preserve">First, accountability is allocated to identified institutions. A</w:t>
      </w:r>
      <w:r>
        <w:t xml:space="preserve"> </w:t>
      </w:r>
      <w:r>
        <w:t xml:space="preserve">Verification Provider that operates poorly is identifiable and subject</w:t>
      </w:r>
      <w:r>
        <w:t xml:space="preserve"> </w:t>
      </w:r>
      <w:r>
        <w:t xml:space="preserve">to suspension or revocation of accreditation by the Council. A</w:t>
      </w:r>
      <w:r>
        <w:t xml:space="preserve"> </w:t>
      </w:r>
      <w:r>
        <w:t xml:space="preserve">peer-to-peer system in which any party may issue identifiers cannot, by</w:t>
      </w:r>
      <w:r>
        <w:t xml:space="preserve"> </w:t>
      </w:r>
      <w:r>
        <w:t xml:space="preserve">construction, hold any party accountable for the consequences of</w:t>
      </w:r>
      <w:r>
        <w:t xml:space="preserve"> </w:t>
      </w:r>
      <w:r>
        <w:t xml:space="preserve">issuance.</w:t>
      </w:r>
    </w:p>
    <w:p>
      <w:pPr>
        <w:pStyle w:val="BodyText"/>
      </w:pPr>
      <w:r>
        <w:t xml:space="preserve">Second, the protocol is compatible with the regulatory expectations</w:t>
      </w:r>
      <w:r>
        <w:t xml:space="preserve"> </w:t>
      </w:r>
      <w:r>
        <w:t xml:space="preserve">of identified jurisdictions. A regulator in a jurisdiction in which a</w:t>
      </w:r>
      <w:r>
        <w:t xml:space="preserve"> </w:t>
      </w:r>
      <w:r>
        <w:t xml:space="preserve">Verification Provider operates may, through the legal process of that</w:t>
      </w:r>
      <w:r>
        <w:t xml:space="preserve"> </w:t>
      </w:r>
      <w:r>
        <w:t xml:space="preserve">jurisdiction, compel disclosure of the mapping between a CTID and the</w:t>
      </w:r>
      <w:r>
        <w:t xml:space="preserve"> </w:t>
      </w:r>
      <w:r>
        <w:t xml:space="preserve">real-world identity of the holder, on the conditions specified by that</w:t>
      </w:r>
      <w:r>
        <w:t xml:space="preserve"> </w:t>
      </w:r>
      <w:r>
        <w:t xml:space="preserve">jurisdiction’s law. A peer-to-peer system in which any party may issue</w:t>
      </w:r>
      <w:r>
        <w:t xml:space="preserve"> </w:t>
      </w:r>
      <w:r>
        <w:t xml:space="preserve">identifiers presents no analogous interface to legal process.</w:t>
      </w:r>
    </w:p>
    <w:p>
      <w:pPr>
        <w:pStyle w:val="BodyText"/>
      </w:pPr>
      <w:r>
        <w:t xml:space="preserve">Third, the AI Trust Council and not any single Verification Provider</w:t>
      </w:r>
      <w:r>
        <w:t xml:space="preserve"> </w:t>
      </w:r>
      <w:r>
        <w:t xml:space="preserve">is the locus of governance. A Verification Provider that disagrees with</w:t>
      </w:r>
      <w:r>
        <w:t xml:space="preserve"> </w:t>
      </w:r>
      <w:r>
        <w:t xml:space="preserve">a Council decision may resign from accreditation or may, through the</w:t>
      </w:r>
      <w:r>
        <w:t xml:space="preserve"> </w:t>
      </w:r>
      <w:r>
        <w:t xml:space="preserve">Council’s dissent procedure, record its disagreement. It does not have</w:t>
      </w:r>
      <w:r>
        <w:t xml:space="preserve"> </w:t>
      </w:r>
      <w:r>
        <w:t xml:space="preserve">the power to fork the protocol or to issue identifiers outside the</w:t>
      </w:r>
      <w:r>
        <w:t xml:space="preserve"> </w:t>
      </w:r>
      <w:r>
        <w:t xml:space="preserve">accreditation regime.</w:t>
      </w:r>
    </w:p>
    <w:bookmarkEnd w:id="44"/>
    <w:bookmarkStart w:id="45" w:name="post-quantum-cryptography-from-genesis"/>
    <w:p>
      <w:pPr>
        <w:pStyle w:val="Heading2"/>
      </w:pPr>
      <w:r>
        <w:t xml:space="preserve">2.2 Post-quantum cryptography from genesis</w:t>
      </w:r>
    </w:p>
    <w:p>
      <w:pPr>
        <w:pStyle w:val="FirstParagraph"/>
      </w:pPr>
      <w:r>
        <w:t xml:space="preserve">The Trust Identity Protocol is the first widely deployed content</w:t>
      </w:r>
      <w:r>
        <w:t xml:space="preserve"> </w:t>
      </w:r>
      <w:r>
        <w:t xml:space="preserve">provenance and verifiable identity framework to be designed against the</w:t>
      </w:r>
      <w:r>
        <w:t xml:space="preserve"> </w:t>
      </w:r>
      <w:r>
        <w:t xml:space="preserve">cryptographic standards published by the United States National</w:t>
      </w:r>
      <w:r>
        <w:t xml:space="preserve"> </w:t>
      </w:r>
      <w:r>
        <w:t xml:space="preserve">Institute of Standards and Technology in August 2024 for post-quantum</w:t>
      </w:r>
      <w:r>
        <w:t xml:space="preserve"> </w:t>
      </w:r>
      <w:r>
        <w:t xml:space="preserve">cryptography. The protocol’s signature scheme is ML-DSA-65 (FIPS 204).</w:t>
      </w:r>
      <w:r>
        <w:t xml:space="preserve"> </w:t>
      </w:r>
      <w:r>
        <w:t xml:space="preserve">The protocol’s key encapsulation mechanism is ML-KEM-768 (FIPS 203). The</w:t>
      </w:r>
      <w:r>
        <w:t xml:space="preserve"> </w:t>
      </w:r>
      <w:r>
        <w:t xml:space="preserve">protocol’s hash-based signature fallback for long-term archival is</w:t>
      </w:r>
      <w:r>
        <w:t xml:space="preserve"> </w:t>
      </w:r>
      <w:r>
        <w:t xml:space="preserve">SLH-DSA (FIPS 205).</w:t>
      </w:r>
    </w:p>
    <w:p>
      <w:pPr>
        <w:pStyle w:val="BodyText"/>
      </w:pPr>
      <w:r>
        <w:t xml:space="preserve">The selection of post-quantum primitives at the genesis of the</w:t>
      </w:r>
      <w:r>
        <w:t xml:space="preserve"> </w:t>
      </w:r>
      <w:r>
        <w:t xml:space="preserve">protocol, rather than as a future migration, reflects three</w:t>
      </w:r>
      <w:r>
        <w:t xml:space="preserve"> </w:t>
      </w:r>
      <w:r>
        <w:t xml:space="preserve">considerations.</w:t>
      </w:r>
    </w:p>
    <w:p>
      <w:pPr>
        <w:pStyle w:val="BodyText"/>
      </w:pPr>
      <w:r>
        <w:t xml:space="preserve">First, signatures generated today are expected to remain in service</w:t>
      </w:r>
      <w:r>
        <w:t xml:space="preserve"> </w:t>
      </w:r>
      <w:r>
        <w:t xml:space="preserve">for decades. A signature applied to a journalistic photograph in 2026,</w:t>
      </w:r>
      <w:r>
        <w:t xml:space="preserve"> </w:t>
      </w:r>
      <w:r>
        <w:t xml:space="preserve">recorded on a public append-only ledger, and relied on by a regulator or</w:t>
      </w:r>
      <w:r>
        <w:t xml:space="preserve"> </w:t>
      </w:r>
      <w:r>
        <w:t xml:space="preserve">a court in 2046 must be verifiable in 2046 by the cryptographic</w:t>
      </w:r>
      <w:r>
        <w:t xml:space="preserve"> </w:t>
      </w:r>
      <w:r>
        <w:t xml:space="preserve">standards then in force. The cryptographic guidance of NIST, the</w:t>
      </w:r>
      <w:r>
        <w:t xml:space="preserve"> </w:t>
      </w:r>
      <w:r>
        <w:t xml:space="preserve">European Union Agency for Cybersecurity (ENISA), and analogous bodies</w:t>
      </w:r>
      <w:r>
        <w:t xml:space="preserve"> </w:t>
      </w:r>
      <w:r>
        <w:t xml:space="preserve">converged between 2022 and 2024 on the position that classical</w:t>
      </w:r>
      <w:r>
        <w:t xml:space="preserve"> </w:t>
      </w:r>
      <w:r>
        <w:t xml:space="preserve">primitives applied today carry a non-negligible long-tail risk of</w:t>
      </w:r>
      <w:r>
        <w:t xml:space="preserve"> </w:t>
      </w:r>
      <w:r>
        <w:t xml:space="preserve">retroactive forgeability and that systems being designed in 2025 and</w:t>
      </w:r>
      <w:r>
        <w:t xml:space="preserve"> </w:t>
      </w:r>
      <w:r>
        <w:t xml:space="preserve">2026 should be designed against post-quantum primitives directly.</w:t>
      </w:r>
    </w:p>
    <w:p>
      <w:pPr>
        <w:pStyle w:val="BodyText"/>
      </w:pPr>
      <w:r>
        <w:t xml:space="preserve">Second, the cost of a migration from classical primitives to</w:t>
      </w:r>
      <w:r>
        <w:t xml:space="preserve"> </w:t>
      </w:r>
      <w:r>
        <w:t xml:space="preserve">post-quantum primitives, undertaken after a federated network is in</w:t>
      </w:r>
      <w:r>
        <w:t xml:space="preserve"> </w:t>
      </w:r>
      <w:r>
        <w:t xml:space="preserve">operation with a large installed base of signed records, is</w:t>
      </w:r>
      <w:r>
        <w:t xml:space="preserve"> </w:t>
      </w:r>
      <w:r>
        <w:t xml:space="preserve">substantially higher than the cost of designing against post-quantum</w:t>
      </w:r>
      <w:r>
        <w:t xml:space="preserve"> </w:t>
      </w:r>
      <w:r>
        <w:t xml:space="preserve">primitives at the outset. The cost of compatibility analysis, the cost</w:t>
      </w:r>
      <w:r>
        <w:t xml:space="preserve"> </w:t>
      </w:r>
      <w:r>
        <w:t xml:space="preserve">of dual-signing periods, and the cost of operator coordination across a</w:t>
      </w:r>
      <w:r>
        <w:t xml:space="preserve"> </w:t>
      </w:r>
      <w:r>
        <w:t xml:space="preserve">federation are all reduced by avoiding the migration.</w:t>
      </w:r>
    </w:p>
    <w:p>
      <w:pPr>
        <w:pStyle w:val="BodyText"/>
      </w:pPr>
      <w:r>
        <w:t xml:space="preserve">Third, the post-quantum primitives selected by NIST have been the</w:t>
      </w:r>
      <w:r>
        <w:t xml:space="preserve"> </w:t>
      </w:r>
      <w:r>
        <w:t xml:space="preserve">subject of substantial cryptanalytic scrutiny over the multi-year</w:t>
      </w:r>
      <w:r>
        <w:t xml:space="preserve"> </w:t>
      </w:r>
      <w:r>
        <w:t xml:space="preserve">standardization process and are believed by the public cryptographic</w:t>
      </w:r>
      <w:r>
        <w:t xml:space="preserve"> </w:t>
      </w:r>
      <w:r>
        <w:t xml:space="preserve">research community to be sound. The decision to deploy them now is not</w:t>
      </w:r>
      <w:r>
        <w:t xml:space="preserve"> </w:t>
      </w:r>
      <w:r>
        <w:t xml:space="preserve">an experimental choice; it is the application of standards reviewed by</w:t>
      </w:r>
      <w:r>
        <w:t xml:space="preserve"> </w:t>
      </w:r>
      <w:r>
        <w:t xml:space="preserve">the United States federal government and recommended for adoption.</w:t>
      </w:r>
    </w:p>
    <w:p>
      <w:pPr>
        <w:pStyle w:val="BodyText"/>
      </w:pPr>
      <w:r>
        <w:t xml:space="preserve">Part III describes the post-quantum primitive selection in</w:t>
      </w:r>
      <w:r>
        <w:t xml:space="preserve"> </w:t>
      </w:r>
      <w:r>
        <w:t xml:space="preserve">detail.</w:t>
      </w:r>
    </w:p>
    <w:bookmarkEnd w:id="45"/>
    <w:bookmarkStart w:id="46" w:name="X6c853452c1a9086acecd1e1eabd669e6fb4b7f4"/>
    <w:p>
      <w:pPr>
        <w:pStyle w:val="Heading2"/>
      </w:pPr>
      <w:r>
        <w:t xml:space="preserve">2.3 Append-only directed acyclic graph for non-repudiable provenance</w:t>
      </w:r>
    </w:p>
    <w:p>
      <w:pPr>
        <w:pStyle w:val="FirstParagraph"/>
      </w:pPr>
      <w:r>
        <w:t xml:space="preserve">The record of signed events maintained by the federation of Node</w:t>
      </w:r>
      <w:r>
        <w:t xml:space="preserve"> </w:t>
      </w:r>
      <w:r>
        <w:t xml:space="preserve">Operators is an append-only directed acyclic graph. Entries are added to</w:t>
      </w:r>
      <w:r>
        <w:t xml:space="preserve"> </w:t>
      </w:r>
      <w:r>
        <w:t xml:space="preserve">the graph by Node Operators in accordance with the rules described in</w:t>
      </w:r>
      <w:r>
        <w:t xml:space="preserve"> </w:t>
      </w:r>
      <w:r>
        <w:t xml:space="preserve">Part VII. Entries are not removed from the graph. The append-only</w:t>
      </w:r>
      <w:r>
        <w:t xml:space="preserve"> </w:t>
      </w:r>
      <w:r>
        <w:t xml:space="preserve">property is structural to the protocol.</w:t>
      </w:r>
    </w:p>
    <w:p>
      <w:pPr>
        <w:pStyle w:val="BodyText"/>
      </w:pPr>
      <w:r>
        <w:t xml:space="preserve">The append-only property is selected for three reasons.</w:t>
      </w:r>
    </w:p>
    <w:p>
      <w:pPr>
        <w:pStyle w:val="BodyText"/>
      </w:pPr>
      <w:r>
        <w:t xml:space="preserve">First, non-repudiation. A signature that has been published to a</w:t>
      </w:r>
      <w:r>
        <w:t xml:space="preserve"> </w:t>
      </w:r>
      <w:r>
        <w:t xml:space="preserve">public append-only graph cannot subsequently be retracted by the signer</w:t>
      </w:r>
      <w:r>
        <w:t xml:space="preserve"> </w:t>
      </w:r>
      <w:r>
        <w:t xml:space="preserve">with the effect of denying that the signature existed. The signer may</w:t>
      </w:r>
      <w:r>
        <w:t xml:space="preserve"> </w:t>
      </w:r>
      <w:r>
        <w:t xml:space="preserve">revoke the underlying CTID, terminating its future utility; the</w:t>
      </w:r>
      <w:r>
        <w:t xml:space="preserve"> </w:t>
      </w:r>
      <w:r>
        <w:t xml:space="preserve">historical record that the signer signed the content at the recorded</w:t>
      </w:r>
      <w:r>
        <w:t xml:space="preserve"> </w:t>
      </w:r>
      <w:r>
        <w:t xml:space="preserve">time remains. This property is essential to the evidentiary use of</w:t>
      </w:r>
      <w:r>
        <w:t xml:space="preserve"> </w:t>
      </w:r>
      <w:r>
        <w:t xml:space="preserve">signed content in journalism, in administrative proceedings, and in</w:t>
      </w:r>
      <w:r>
        <w:t xml:space="preserve"> </w:t>
      </w:r>
      <w:r>
        <w:t xml:space="preserve">litigation.</w:t>
      </w:r>
    </w:p>
    <w:p>
      <w:pPr>
        <w:pStyle w:val="BodyText"/>
      </w:pPr>
      <w:r>
        <w:t xml:space="preserve">Second, auditability. A regulator, an academic researcher, an</w:t>
      </w:r>
      <w:r>
        <w:t xml:space="preserve"> </w:t>
      </w:r>
      <w:r>
        <w:t xml:space="preserve">investigative journalist, or an interested member of the public may, at</w:t>
      </w:r>
      <w:r>
        <w:t xml:space="preserve"> </w:t>
      </w:r>
      <w:r>
        <w:t xml:space="preserve">any time, inspect the population of signed records, the suspension and</w:t>
      </w:r>
      <w:r>
        <w:t xml:space="preserve"> </w:t>
      </w:r>
      <w:r>
        <w:t xml:space="preserve">revocation events affecting particular CTIDs, and the patterns of</w:t>
      </w:r>
      <w:r>
        <w:t xml:space="preserve"> </w:t>
      </w:r>
      <w:r>
        <w:t xml:space="preserve">activity of particular Verification Providers. The transparency of the</w:t>
      </w:r>
      <w:r>
        <w:t xml:space="preserve"> </w:t>
      </w:r>
      <w:r>
        <w:t xml:space="preserve">federation is structural and does not depend on the discretion of any</w:t>
      </w:r>
      <w:r>
        <w:t xml:space="preserve"> </w:t>
      </w:r>
      <w:r>
        <w:t xml:space="preserve">single operator.</w:t>
      </w:r>
    </w:p>
    <w:p>
      <w:pPr>
        <w:pStyle w:val="BodyText"/>
      </w:pPr>
      <w:r>
        <w:t xml:space="preserve">Third, alignment with regulatory expectations. Where applicable law</w:t>
      </w:r>
      <w:r>
        <w:t xml:space="preserve"> </w:t>
      </w:r>
      <w:r>
        <w:t xml:space="preserve">imposes obligations on platforms or publishers to disclose the</w:t>
      </w:r>
      <w:r>
        <w:t xml:space="preserve"> </w:t>
      </w:r>
      <w:r>
        <w:t xml:space="preserve">provenance of artificially generated content (EU AI Act Article 50,</w:t>
      </w:r>
      <w:r>
        <w:t xml:space="preserve"> </w:t>
      </w:r>
      <w:r>
        <w:t xml:space="preserve">California SB 942, analogous instruments), the existence of a public</w:t>
      </w:r>
      <w:r>
        <w:t xml:space="preserve"> </w:t>
      </w:r>
      <w:r>
        <w:t xml:space="preserve">append-only record of such disclosures supplies a verifiable basis for</w:t>
      </w:r>
      <w:r>
        <w:t xml:space="preserve"> </w:t>
      </w:r>
      <w:r>
        <w:t xml:space="preserve">compliance. The platform or publisher does not need to depend on its own</w:t>
      </w:r>
      <w:r>
        <w:t xml:space="preserve"> </w:t>
      </w:r>
      <w:r>
        <w:t xml:space="preserve">record-keeping; the record exists independently on the federation.</w:t>
      </w:r>
    </w:p>
    <w:p>
      <w:pPr>
        <w:pStyle w:val="BodyText"/>
      </w:pPr>
      <w:r>
        <w:t xml:space="preserve">The tension between the append-only property and the right to erasure</w:t>
      </w:r>
      <w:r>
        <w:t xml:space="preserve"> </w:t>
      </w:r>
      <w:r>
        <w:t xml:space="preserve">under data protection law is addressed by the pseudonymization</w:t>
      </w:r>
      <w:r>
        <w:t xml:space="preserve"> </w:t>
      </w:r>
      <w:r>
        <w:t xml:space="preserve">architecture described in Section 9.1.2 and in Part IV. The data</w:t>
      </w:r>
      <w:r>
        <w:t xml:space="preserve"> </w:t>
      </w:r>
      <w:r>
        <w:t xml:space="preserve">published to the graph is a pseudonymous identifier (the CTID) and a</w:t>
      </w:r>
      <w:r>
        <w:t xml:space="preserve"> </w:t>
      </w:r>
      <w:r>
        <w:t xml:space="preserve">content fingerprint (the CNA-2.2 output). The mapping between the CTID</w:t>
      </w:r>
      <w:r>
        <w:t xml:space="preserve"> </w:t>
      </w:r>
      <w:r>
        <w:t xml:space="preserve">and the real-world identity of the holder is maintained off-graph by the</w:t>
      </w:r>
      <w:r>
        <w:t xml:space="preserve"> </w:t>
      </w:r>
      <w:r>
        <w:t xml:space="preserve">Verification Provider. On a verified erasure request, the off-graph</w:t>
      </w:r>
      <w:r>
        <w:t xml:space="preserve"> </w:t>
      </w:r>
      <w:r>
        <w:t xml:space="preserve">mapping is deleted; the on-graph pseudonymous record remains as an</w:t>
      </w:r>
      <w:r>
        <w:t xml:space="preserve"> </w:t>
      </w:r>
      <w:r>
        <w:t xml:space="preserve">orphan and is not personal data within the meaning of the General Data</w:t>
      </w:r>
      <w:r>
        <w:t xml:space="preserve"> </w:t>
      </w:r>
      <w:r>
        <w:t xml:space="preserve">Protection Regulation as clarified by Recital 26 of that Regulation and</w:t>
      </w:r>
      <w:r>
        <w:t xml:space="preserve"> </w:t>
      </w:r>
      <w:r>
        <w:t xml:space="preserve">by the guidance of the European Data Protection Board on</w:t>
      </w:r>
      <w:r>
        <w:t xml:space="preserve"> </w:t>
      </w:r>
      <w:r>
        <w:t xml:space="preserve">pseudonymization.</w:t>
      </w:r>
    </w:p>
    <w:bookmarkEnd w:id="46"/>
    <w:bookmarkStart w:id="47" w:name="pseudonymity-with-accountability"/>
    <w:p>
      <w:pPr>
        <w:pStyle w:val="Heading2"/>
      </w:pPr>
      <w:r>
        <w:t xml:space="preserve">2.4 Pseudonymity with accountability</w:t>
      </w:r>
    </w:p>
    <w:p>
      <w:pPr>
        <w:pStyle w:val="FirstParagraph"/>
      </w:pPr>
      <w:r>
        <w:t xml:space="preserve">The Trust Identity Protocol does not require any natural person to</w:t>
      </w:r>
      <w:r>
        <w:t xml:space="preserve"> </w:t>
      </w:r>
      <w:r>
        <w:t xml:space="preserve">disclose their real-world identity to The AI Lab, to any Node Operator,</w:t>
      </w:r>
      <w:r>
        <w:t xml:space="preserve"> </w:t>
      </w:r>
      <w:r>
        <w:t xml:space="preserve">to any platform, to any reader of content, or to any other participant</w:t>
      </w:r>
      <w:r>
        <w:t xml:space="preserve"> </w:t>
      </w:r>
      <w:r>
        <w:t xml:space="preserve">in the protocol other than the Verification Provider that issues the</w:t>
      </w:r>
      <w:r>
        <w:t xml:space="preserve"> </w:t>
      </w:r>
      <w:r>
        <w:t xml:space="preserve">CTID. The Verification Provider holds the mapping between the CTID and</w:t>
      </w:r>
      <w:r>
        <w:t xml:space="preserve"> </w:t>
      </w:r>
      <w:r>
        <w:t xml:space="preserve">the real-world identity. The mapping is disclosed only through the legal</w:t>
      </w:r>
      <w:r>
        <w:t xml:space="preserve"> </w:t>
      </w:r>
      <w:r>
        <w:t xml:space="preserve">process of the jurisdiction in which the Verification Provider operates,</w:t>
      </w:r>
      <w:r>
        <w:t xml:space="preserve"> </w:t>
      </w:r>
      <w:r>
        <w:t xml:space="preserve">on the conditions specified by that jurisdiction’s law.</w:t>
      </w:r>
    </w:p>
    <w:p>
      <w:pPr>
        <w:pStyle w:val="BodyText"/>
      </w:pPr>
      <w:r>
        <w:t xml:space="preserve">This design choice addresses two competing concerns that have</w:t>
      </w:r>
      <w:r>
        <w:t xml:space="preserve"> </w:t>
      </w:r>
      <w:r>
        <w:t xml:space="preserve">characterized the public discussion of digital identity systems over the</w:t>
      </w:r>
      <w:r>
        <w:t xml:space="preserve"> </w:t>
      </w:r>
      <w:r>
        <w:t xml:space="preserve">past decade. The first concern is that identity systems that require</w:t>
      </w:r>
      <w:r>
        <w:t xml:space="preserve"> </w:t>
      </w:r>
      <w:r>
        <w:t xml:space="preserve">real-world identification at every point of use produce a surveillance</w:t>
      </w:r>
      <w:r>
        <w:t xml:space="preserve"> </w:t>
      </w:r>
      <w:r>
        <w:t xml:space="preserve">architecture in which every act of speech, commerce, or association can</w:t>
      </w:r>
      <w:r>
        <w:t xml:space="preserve"> </w:t>
      </w:r>
      <w:r>
        <w:t xml:space="preserve">be linked to a named natural person, undermining the conditions of a</w:t>
      </w:r>
      <w:r>
        <w:t xml:space="preserve"> </w:t>
      </w:r>
      <w:r>
        <w:t xml:space="preserve">free society. The second concern is that systems that do not require</w:t>
      </w:r>
      <w:r>
        <w:t xml:space="preserve"> </w:t>
      </w:r>
      <w:r>
        <w:t xml:space="preserve">real-world identification at any point produce a domain of unaccountable</w:t>
      </w:r>
      <w:r>
        <w:t xml:space="preserve"> </w:t>
      </w:r>
      <w:r>
        <w:t xml:space="preserve">speech and conduct in which fraud, harassment, defamation, and the</w:t>
      </w:r>
      <w:r>
        <w:t xml:space="preserve"> </w:t>
      </w:r>
      <w:r>
        <w:t xml:space="preserve">manipulation of democratic processes are not effectively addressed by</w:t>
      </w:r>
      <w:r>
        <w:t xml:space="preserve"> </w:t>
      </w:r>
      <w:r>
        <w:t xml:space="preserve">the institutions that ordinarily address them.</w:t>
      </w:r>
    </w:p>
    <w:p>
      <w:pPr>
        <w:pStyle w:val="BodyText"/>
      </w:pPr>
      <w:r>
        <w:t xml:space="preserve">The protocol’s response is to separate the question of accountability</w:t>
      </w:r>
      <w:r>
        <w:t xml:space="preserve"> </w:t>
      </w:r>
      <w:r>
        <w:t xml:space="preserve">from the question of disclosure. A CTID is held to account within the</w:t>
      </w:r>
      <w:r>
        <w:t xml:space="preserve"> </w:t>
      </w:r>
      <w:r>
        <w:t xml:space="preserve">protocol by the suspension, revocation, and adjudication mechanisms of</w:t>
      </w:r>
      <w:r>
        <w:t xml:space="preserve"> </w:t>
      </w:r>
      <w:r>
        <w:t xml:space="preserve">Part VI. A CTID’s holder is identified outside the protocol only through</w:t>
      </w:r>
      <w:r>
        <w:t xml:space="preserve"> </w:t>
      </w:r>
      <w:r>
        <w:t xml:space="preserve">legal process. The Verification Provider that issued the CTID is the</w:t>
      </w:r>
      <w:r>
        <w:t xml:space="preserve"> </w:t>
      </w:r>
      <w:r>
        <w:t xml:space="preserve">institution to which legal process is directed. The Verification</w:t>
      </w:r>
      <w:r>
        <w:t xml:space="preserve"> </w:t>
      </w:r>
      <w:r>
        <w:t xml:space="preserve">Provider operates under a published jurisdiction declaration, a warrant</w:t>
      </w:r>
      <w:r>
        <w:t xml:space="preserve"> </w:t>
      </w:r>
      <w:r>
        <w:t xml:space="preserve">canary, and an independent audit, each described in Part X.</w:t>
      </w:r>
    </w:p>
    <w:p>
      <w:pPr>
        <w:pStyle w:val="BodyText"/>
      </w:pPr>
      <w:r>
        <w:t xml:space="preserve">The result is a protocol in which a journalist may publish under a</w:t>
      </w:r>
      <w:r>
        <w:t xml:space="preserve"> </w:t>
      </w:r>
      <w:r>
        <w:t xml:space="preserve">CTID without disclosing the journalist’s real-world identity to a</w:t>
      </w:r>
      <w:r>
        <w:t xml:space="preserve"> </w:t>
      </w:r>
      <w:r>
        <w:t xml:space="preserve">hostile government, in which an ordinary user may comment under a CTID</w:t>
      </w:r>
      <w:r>
        <w:t xml:space="preserve"> </w:t>
      </w:r>
      <w:r>
        <w:t xml:space="preserve">without disclosing the user’s real-world identity to a platform or to</w:t>
      </w:r>
      <w:r>
        <w:t xml:space="preserve"> </w:t>
      </w:r>
      <w:r>
        <w:t xml:space="preserve">other users, and in which a court of competent jurisdiction may, on a</w:t>
      </w:r>
      <w:r>
        <w:t xml:space="preserve"> </w:t>
      </w:r>
      <w:r>
        <w:t xml:space="preserve">showing of cause, obtain the real-world identity of a CTID holder</w:t>
      </w:r>
      <w:r>
        <w:t xml:space="preserve"> </w:t>
      </w:r>
      <w:r>
        <w:t xml:space="preserve">through the legal process of the jurisdiction in which the issuing</w:t>
      </w:r>
      <w:r>
        <w:t xml:space="preserve"> </w:t>
      </w:r>
      <w:r>
        <w:t xml:space="preserve">Verification Provider is established.</w:t>
      </w:r>
    </w:p>
    <w:bookmarkEnd w:id="47"/>
    <w:bookmarkStart w:id="52" w:name="adversarial-robustness"/>
    <w:p>
      <w:pPr>
        <w:pStyle w:val="Heading2"/>
      </w:pPr>
      <w:r>
        <w:t xml:space="preserve">2.5 Adversarial robustness</w:t>
      </w:r>
    </w:p>
    <w:p>
      <w:pPr>
        <w:pStyle w:val="FirstParagraph"/>
      </w:pPr>
      <w:r>
        <w:t xml:space="preserve">The Trust Identity Protocol is designed against an explicit adversary</w:t>
      </w:r>
      <w:r>
        <w:t xml:space="preserve"> </w:t>
      </w:r>
      <w:r>
        <w:t xml:space="preserve">model. The principal adversaries against which the protocol is designed</w:t>
      </w:r>
      <w:r>
        <w:t xml:space="preserve"> </w:t>
      </w:r>
      <w:r>
        <w:t xml:space="preserve">are described below.</w:t>
      </w:r>
    </w:p>
    <w:bookmarkStart w:id="48" w:name="sybil-resistance"/>
    <w:p>
      <w:pPr>
        <w:pStyle w:val="Heading3"/>
      </w:pPr>
      <w:r>
        <w:t xml:space="preserve">2.5.1 Sybil resistance</w:t>
      </w:r>
    </w:p>
    <w:p>
      <w:pPr>
        <w:pStyle w:val="FirstParagraph"/>
      </w:pPr>
      <w:r>
        <w:t xml:space="preserve">A Sybil adversary is one that obtains many identifiers and uses them</w:t>
      </w:r>
      <w:r>
        <w:t xml:space="preserve"> </w:t>
      </w:r>
      <w:r>
        <w:t xml:space="preserve">to simulate the support of many distinct natural persons. The protocol’s</w:t>
      </w:r>
      <w:r>
        <w:t xml:space="preserve"> </w:t>
      </w:r>
      <w:r>
        <w:t xml:space="preserve">resistance to Sybil attack rests on three properties: (a) CTIDs are</w:t>
      </w:r>
      <w:r>
        <w:t xml:space="preserve"> </w:t>
      </w:r>
      <w:r>
        <w:t xml:space="preserve">issued by accredited Verification Providers operating under identity</w:t>
      </w:r>
      <w:r>
        <w:t xml:space="preserve"> </w:t>
      </w:r>
      <w:r>
        <w:t xml:space="preserve">verification practices subject to audit, not by any party that requests</w:t>
      </w:r>
      <w:r>
        <w:t xml:space="preserve"> </w:t>
      </w:r>
      <w:r>
        <w:t xml:space="preserve">one; (b) the Trust Score architecture aggregates behavior across</w:t>
      </w:r>
      <w:r>
        <w:t xml:space="preserve"> </w:t>
      </w:r>
      <w:r>
        <w:t xml:space="preserve">multiple sub-scores, including the Network sub-score, which weighs the</w:t>
      </w:r>
      <w:r>
        <w:t xml:space="preserve"> </w:t>
      </w:r>
      <w:r>
        <w:t xml:space="preserve">established history and reputation of the issuing Verification Provider;</w:t>
      </w:r>
      <w:r>
        <w:t xml:space="preserve"> </w:t>
      </w:r>
      <w:r>
        <w:t xml:space="preserve">and (c) Blocking Items B1 through B6, defined in Part VI, suspend the</w:t>
      </w:r>
      <w:r>
        <w:t xml:space="preserve"> </w:t>
      </w:r>
      <w:r>
        <w:t xml:space="preserve">operational utility of a CTID on detection of behavior characteristic of</w:t>
      </w:r>
      <w:r>
        <w:t xml:space="preserve"> </w:t>
      </w:r>
      <w:r>
        <w:t xml:space="preserve">Sybil attack.</w:t>
      </w:r>
    </w:p>
    <w:bookmarkEnd w:id="48"/>
    <w:bookmarkStart w:id="49" w:name="key-compromise-containment"/>
    <w:p>
      <w:pPr>
        <w:pStyle w:val="Heading3"/>
      </w:pPr>
      <w:r>
        <w:t xml:space="preserve">2.5.2 Key compromise containment</w:t>
      </w:r>
    </w:p>
    <w:p>
      <w:pPr>
        <w:pStyle w:val="FirstParagraph"/>
      </w:pPr>
      <w:r>
        <w:t xml:space="preserve">A key compromise adversary is one that obtains the private key of a</w:t>
      </w:r>
      <w:r>
        <w:t xml:space="preserve"> </w:t>
      </w:r>
      <w:r>
        <w:t xml:space="preserve">CTID holder and uses it to sign content as if it were the holder. The</w:t>
      </w:r>
      <w:r>
        <w:t xml:space="preserve"> </w:t>
      </w:r>
      <w:r>
        <w:t xml:space="preserve">protocol contains key compromise through four mechanisms: (a) private</w:t>
      </w:r>
      <w:r>
        <w:t xml:space="preserve"> </w:t>
      </w:r>
      <w:r>
        <w:t xml:space="preserve">keys are generated, stored, and operated on in a WebAuthn resident key</w:t>
      </w:r>
      <w:r>
        <w:t xml:space="preserve"> </w:t>
      </w:r>
      <w:r>
        <w:t xml:space="preserve">authenticator on the holder’s device, subject to biometric or other user</w:t>
      </w:r>
      <w:r>
        <w:t xml:space="preserve"> </w:t>
      </w:r>
      <w:r>
        <w:t xml:space="preserve">verification; (b) CTIDs may be revoked by the holder or by the issuing</w:t>
      </w:r>
      <w:r>
        <w:t xml:space="preserve"> </w:t>
      </w:r>
      <w:r>
        <w:t xml:space="preserve">Verification Provider; revocation is published to the append-only DAG</w:t>
      </w:r>
      <w:r>
        <w:t xml:space="preserve"> </w:t>
      </w:r>
      <w:r>
        <w:t xml:space="preserve">within the synchronization interval described in Part VII; (c)</w:t>
      </w:r>
      <w:r>
        <w:t xml:space="preserve"> </w:t>
      </w:r>
      <w:r>
        <w:t xml:space="preserve">signatures published on the DAG carry a timestamp recognized by the</w:t>
      </w:r>
      <w:r>
        <w:t xml:space="preserve"> </w:t>
      </w:r>
      <w:r>
        <w:t xml:space="preserve">federation, permitting the identification of signatures published after</w:t>
      </w:r>
      <w:r>
        <w:t xml:space="preserve"> </w:t>
      </w:r>
      <w:r>
        <w:t xml:space="preserve">the revocation timestamp as suspect; and (d) the Trust Score reflects</w:t>
      </w:r>
      <w:r>
        <w:t xml:space="preserve"> </w:t>
      </w:r>
      <w:r>
        <w:t xml:space="preserve">revocation events through the Behavioral sub-score, reducing the</w:t>
      </w:r>
      <w:r>
        <w:t xml:space="preserve"> </w:t>
      </w:r>
      <w:r>
        <w:t xml:space="preserve">operational utility of a CTID known to have been compromised.</w:t>
      </w:r>
    </w:p>
    <w:bookmarkEnd w:id="49"/>
    <w:bookmarkStart w:id="50" w:name="regulatory-and-jurisdictional-pressure"/>
    <w:p>
      <w:pPr>
        <w:pStyle w:val="Heading3"/>
      </w:pPr>
      <w:r>
        <w:t xml:space="preserve">2.5.3 Regulatory and jurisdictional pressure</w:t>
      </w:r>
    </w:p>
    <w:p>
      <w:pPr>
        <w:pStyle w:val="FirstParagraph"/>
      </w:pPr>
      <w:r>
        <w:t xml:space="preserve">A regulatory adversary is a state or political actor that seeks to</w:t>
      </w:r>
      <w:r>
        <w:t xml:space="preserve"> </w:t>
      </w:r>
      <w:r>
        <w:t xml:space="preserve">disable the protocol within its jurisdiction or to compel the production</w:t>
      </w:r>
      <w:r>
        <w:t xml:space="preserve"> </w:t>
      </w:r>
      <w:r>
        <w:t xml:space="preserve">of identifying information by a Verification Provider operating within</w:t>
      </w:r>
      <w:r>
        <w:t xml:space="preserve"> </w:t>
      </w:r>
      <w:r>
        <w:t xml:space="preserve">its jurisdiction. The protocol’s response is structural rather than</w:t>
      </w:r>
      <w:r>
        <w:t xml:space="preserve"> </w:t>
      </w:r>
      <w:r>
        <w:t xml:space="preserve">confrontational. The federation operates across multiple jurisdictions;</w:t>
      </w:r>
      <w:r>
        <w:t xml:space="preserve"> </w:t>
      </w:r>
      <w:r>
        <w:t xml:space="preserve">the suspension of operations by a Verification Provider in one</w:t>
      </w:r>
      <w:r>
        <w:t xml:space="preserve"> </w:t>
      </w:r>
      <w:r>
        <w:t xml:space="preserve">jurisdiction does not disable the protocol in other jurisdictions. The</w:t>
      </w:r>
      <w:r>
        <w:t xml:space="preserve"> </w:t>
      </w:r>
      <w:r>
        <w:t xml:space="preserve">jurisdiction declaration and the warrant canary published by each</w:t>
      </w:r>
      <w:r>
        <w:t xml:space="preserve"> </w:t>
      </w:r>
      <w:r>
        <w:t xml:space="preserve">Verification Provider give users notice of the jurisdictional risk</w:t>
      </w:r>
      <w:r>
        <w:t xml:space="preserve"> </w:t>
      </w:r>
      <w:r>
        <w:t xml:space="preserve">associated with a given Verification Provider, permitting users to</w:t>
      </w:r>
      <w:r>
        <w:t xml:space="preserve"> </w:t>
      </w:r>
      <w:r>
        <w:t xml:space="preserve">select a Verification Provider on a basis other than convenience. The</w:t>
      </w:r>
      <w:r>
        <w:t xml:space="preserve"> </w:t>
      </w:r>
      <w:r>
        <w:t xml:space="preserve">protocol does not seek to exempt Verification Providers from the law of</w:t>
      </w:r>
      <w:r>
        <w:t xml:space="preserve"> </w:t>
      </w:r>
      <w:r>
        <w:t xml:space="preserve">their jurisdictions; it seeks to make the operation of that law</w:t>
      </w:r>
      <w:r>
        <w:t xml:space="preserve"> </w:t>
      </w:r>
      <w:r>
        <w:t xml:space="preserve">transparent.</w:t>
      </w:r>
    </w:p>
    <w:bookmarkEnd w:id="50"/>
    <w:bookmarkStart w:id="51" w:name="cryptographic-adversary"/>
    <w:p>
      <w:pPr>
        <w:pStyle w:val="Heading3"/>
      </w:pPr>
      <w:r>
        <w:t xml:space="preserve">2.5.4 Cryptographic adversary</w:t>
      </w:r>
    </w:p>
    <w:p>
      <w:pPr>
        <w:pStyle w:val="FirstParagraph"/>
      </w:pPr>
      <w:r>
        <w:t xml:space="preserve">A cryptographic adversary is one with computational capabilities</w:t>
      </w:r>
      <w:r>
        <w:t xml:space="preserve"> </w:t>
      </w:r>
      <w:r>
        <w:t xml:space="preserve">sufficient to forge signatures, to invert hash functions, or to break</w:t>
      </w:r>
      <w:r>
        <w:t xml:space="preserve"> </w:t>
      </w:r>
      <w:r>
        <w:t xml:space="preserve">key encapsulation schemes. The protocol’s response is the selection of</w:t>
      </w:r>
      <w:r>
        <w:t xml:space="preserve"> </w:t>
      </w:r>
      <w:r>
        <w:t xml:space="preserve">NIST post-quantum primitives described in Section 2.2 and detailed in</w:t>
      </w:r>
      <w:r>
        <w:t xml:space="preserve"> </w:t>
      </w:r>
      <w:r>
        <w:t xml:space="preserve">Part III, the use of a three-hash content addressing scheme described in</w:t>
      </w:r>
      <w:r>
        <w:t xml:space="preserve"> </w:t>
      </w:r>
      <w:r>
        <w:t xml:space="preserve">Part V, and the conservative parameter selection described in Part</w:t>
      </w:r>
      <w:r>
        <w:t xml:space="preserve"> </w:t>
      </w:r>
      <w:r>
        <w:t xml:space="preserve">III.</w:t>
      </w:r>
    </w:p>
    <w:bookmarkEnd w:id="51"/>
    <w:bookmarkEnd w:id="52"/>
    <w:bookmarkStart w:id="53" w:name="minimality"/>
    <w:p>
      <w:pPr>
        <w:pStyle w:val="Heading2"/>
      </w:pPr>
      <w:r>
        <w:t xml:space="preserve">2.6 Minimality</w:t>
      </w:r>
    </w:p>
    <w:p>
      <w:pPr>
        <w:pStyle w:val="FirstParagraph"/>
      </w:pPr>
      <w:r>
        <w:t xml:space="preserve">The Trust Identity Protocol does not seek to be a general-purpose</w:t>
      </w:r>
      <w:r>
        <w:t xml:space="preserve"> </w:t>
      </w:r>
      <w:r>
        <w:t xml:space="preserve">distributed ledger, a payment system, a programmable smart contract</w:t>
      </w:r>
      <w:r>
        <w:t xml:space="preserve"> </w:t>
      </w:r>
      <w:r>
        <w:t xml:space="preserve">platform, a content delivery network, or a recommendation system. The</w:t>
      </w:r>
      <w:r>
        <w:t xml:space="preserve"> </w:t>
      </w:r>
      <w:r>
        <w:t xml:space="preserve">protocol is designed to perform a narrow set of operations: the issuance</w:t>
      </w:r>
      <w:r>
        <w:t xml:space="preserve"> </w:t>
      </w:r>
      <w:r>
        <w:t xml:space="preserve">of CTIDs by Verification Providers; the signing of CNA-2.2 content</w:t>
      </w:r>
      <w:r>
        <w:t xml:space="preserve"> </w:t>
      </w:r>
      <w:r>
        <w:t xml:space="preserve">fingerprints by CTID holders; the recording of signed events on an</w:t>
      </w:r>
      <w:r>
        <w:t xml:space="preserve"> </w:t>
      </w:r>
      <w:r>
        <w:t xml:space="preserve">append-only DAG; the computation of Trust Scores from defined inputs;</w:t>
      </w:r>
      <w:r>
        <w:t xml:space="preserve"> </w:t>
      </w:r>
      <w:r>
        <w:t xml:space="preserve">and the publication of suspension, revocation, and adjudication</w:t>
      </w:r>
      <w:r>
        <w:t xml:space="preserve"> </w:t>
      </w:r>
      <w:r>
        <w:t xml:space="preserve">events.</w:t>
      </w:r>
    </w:p>
    <w:p>
      <w:pPr>
        <w:pStyle w:val="BodyText"/>
      </w:pPr>
      <w:r>
        <w:t xml:space="preserve">Minimality is selected because the security properties of the</w:t>
      </w:r>
      <w:r>
        <w:t xml:space="preserve"> </w:t>
      </w:r>
      <w:r>
        <w:t xml:space="preserve">protocol can be analyzed and defended in proportion to the simplicity of</w:t>
      </w:r>
      <w:r>
        <w:t xml:space="preserve"> </w:t>
      </w:r>
      <w:r>
        <w:t xml:space="preserve">the operations the protocol performs. A protocol that performs many</w:t>
      </w:r>
      <w:r>
        <w:t xml:space="preserve"> </w:t>
      </w:r>
      <w:r>
        <w:t xml:space="preserve">operations exposes many surfaces to adversaries and presents many points</w:t>
      </w:r>
      <w:r>
        <w:t xml:space="preserve"> </w:t>
      </w:r>
      <w:r>
        <w:t xml:space="preserve">at which regulatory analysis must be conducted. A protocol that performs</w:t>
      </w:r>
      <w:r>
        <w:t xml:space="preserve"> </w:t>
      </w:r>
      <w:r>
        <w:t xml:space="preserve">few operations may, against the same set of adversaries and the same</w:t>
      </w:r>
      <w:r>
        <w:t xml:space="preserve"> </w:t>
      </w:r>
      <w:r>
        <w:t xml:space="preserve">regulatory landscape, be analyzed and defended more rigorously.</w:t>
      </w:r>
    </w:p>
    <w:p>
      <w:pPr>
        <w:pStyle w:val="BodyText"/>
      </w:pPr>
      <w:r>
        <w:t xml:space="preserve">The protocol’s minimality is not a limitation imposed by lack of</w:t>
      </w:r>
      <w:r>
        <w:t xml:space="preserve"> </w:t>
      </w:r>
      <w:r>
        <w:t xml:space="preserve">ambition. It is a deliberate scoping choice. Applications that require</w:t>
      </w:r>
      <w:r>
        <w:t xml:space="preserve"> </w:t>
      </w:r>
      <w:r>
        <w:t xml:space="preserve">additional capabilities (content recommendation, content moderation,</w:t>
      </w:r>
      <w:r>
        <w:t xml:space="preserve"> </w:t>
      </w:r>
      <w:r>
        <w:t xml:space="preserve">payment, social interaction) may be built on top of the protocol by</w:t>
      </w:r>
      <w:r>
        <w:t xml:space="preserve"> </w:t>
      </w:r>
      <w:r>
        <w:t xml:space="preserve">parties electing to do so. Such applications operate in their own legal</w:t>
      </w:r>
      <w:r>
        <w:t xml:space="preserve"> </w:t>
      </w:r>
      <w:r>
        <w:t xml:space="preserve">and operational frameworks. The Trust Identity Protocol supplies the</w:t>
      </w:r>
      <w:r>
        <w:t xml:space="preserve"> </w:t>
      </w:r>
      <w:r>
        <w:t xml:space="preserve">foundation of authenticated identity and authenticated content</w:t>
      </w:r>
      <w:r>
        <w:t xml:space="preserve"> </w:t>
      </w:r>
      <w:r>
        <w:t xml:space="preserve">provenance on which such applications may rely.</w:t>
      </w:r>
    </w:p>
    <w:bookmarkEnd w:id="53"/>
    <w:bookmarkStart w:id="54" w:name="interoperability"/>
    <w:p>
      <w:pPr>
        <w:pStyle w:val="Heading2"/>
      </w:pPr>
      <w:r>
        <w:t xml:space="preserve">2.7 Interoperability</w:t>
      </w:r>
    </w:p>
    <w:p>
      <w:pPr>
        <w:pStyle w:val="FirstParagraph"/>
      </w:pPr>
      <w:r>
        <w:t xml:space="preserve">The Trust Identity Protocol is designed to interoperate with existing</w:t>
      </w:r>
      <w:r>
        <w:t xml:space="preserve"> </w:t>
      </w:r>
      <w:r>
        <w:t xml:space="preserve">provenance standards (C2PA), existing identity standards (Verifiable</w:t>
      </w:r>
      <w:r>
        <w:t xml:space="preserve"> </w:t>
      </w:r>
      <w:r>
        <w:t xml:space="preserve">Credentials, Decentralized Identifiers, WebAuthn), existing</w:t>
      </w:r>
      <w:r>
        <w:t xml:space="preserve"> </w:t>
      </w:r>
      <w:r>
        <w:t xml:space="preserve">cryptographic infrastructure (X.509, PKCS), and existing publishing</w:t>
      </w:r>
      <w:r>
        <w:t xml:space="preserve"> </w:t>
      </w:r>
      <w:r>
        <w:t xml:space="preserve">infrastructure (HTML, RSS, OpenGraph, Schema.org). The protocol’s web</w:t>
      </w:r>
      <w:r>
        <w:t xml:space="preserve"> </w:t>
      </w:r>
      <w:r>
        <w:t xml:space="preserve">component (</w:t>
      </w:r>
      <w:r>
        <w:rPr>
          <w:rStyle w:val="VerbatimChar"/>
        </w:rPr>
        <w:t xml:space="preserve">&lt;tip-badge&gt;</w:t>
      </w:r>
      <w:r>
        <w:t xml:space="preserve">) is implemented in standard</w:t>
      </w:r>
      <w:r>
        <w:t xml:space="preserve"> </w:t>
      </w:r>
      <w:r>
        <w:t xml:space="preserve">HTML and JavaScript and is deployable on any web page. The protocol’s</w:t>
      </w:r>
      <w:r>
        <w:t xml:space="preserve"> </w:t>
      </w:r>
      <w:r>
        <w:t xml:space="preserve">browser extension operates within the published extension APIs of</w:t>
      </w:r>
      <w:r>
        <w:t xml:space="preserve"> </w:t>
      </w:r>
      <w:r>
        <w:t xml:space="preserve">Chrome, Firefox, Arc, and Safari. The protocol’s WordPress reference</w:t>
      </w:r>
      <w:r>
        <w:t xml:space="preserve"> </w:t>
      </w:r>
      <w:r>
        <w:t xml:space="preserve">plugin operates within the published plugin API of WordPress.</w:t>
      </w:r>
    </w:p>
    <w:p>
      <w:pPr>
        <w:pStyle w:val="BodyText"/>
      </w:pPr>
      <w:r>
        <w:t xml:space="preserve">The interoperability principle is operationally important and is also</w:t>
      </w:r>
      <w:r>
        <w:t xml:space="preserve"> </w:t>
      </w:r>
      <w:r>
        <w:t xml:space="preserve">a regulatory commitment. The protocol does not seek to displace</w:t>
      </w:r>
      <w:r>
        <w:t xml:space="preserve"> </w:t>
      </w:r>
      <w:r>
        <w:t xml:space="preserve">investments made by publishers, platforms, or capture device</w:t>
      </w:r>
      <w:r>
        <w:t xml:space="preserve"> </w:t>
      </w:r>
      <w:r>
        <w:t xml:space="preserve">manufacturers in existing provenance and identity infrastructure. The</w:t>
      </w:r>
      <w:r>
        <w:t xml:space="preserve"> </w:t>
      </w:r>
      <w:r>
        <w:t xml:space="preserve">protocol adds the four properties identified in Section 1.3 (federated</w:t>
      </w:r>
      <w:r>
        <w:t xml:space="preserve"> </w:t>
      </w:r>
      <w:r>
        <w:t xml:space="preserve">identity, reputation, post-quantum durability, append-only public</w:t>
      </w:r>
      <w:r>
        <w:t xml:space="preserve"> </w:t>
      </w:r>
      <w:r>
        <w:t xml:space="preserve">record) as additions to that infrastructure.</w:t>
      </w:r>
    </w:p>
    <w:bookmarkEnd w:id="54"/>
    <w:bookmarkStart w:id="55" w:name="open-specification-structured-licensing"/>
    <w:p>
      <w:pPr>
        <w:pStyle w:val="Heading2"/>
      </w:pPr>
      <w:r>
        <w:t xml:space="preserve">2.8 Open specification, structured licensing</w:t>
      </w:r>
    </w:p>
    <w:p>
      <w:pPr>
        <w:pStyle w:val="FirstParagraph"/>
      </w:pPr>
      <w:r>
        <w:t xml:space="preserve">The canonical specification of the protocol is published under the</w:t>
      </w:r>
      <w:r>
        <w:t xml:space="preserve"> </w:t>
      </w:r>
      <w:r>
        <w:t xml:space="preserve">Creative Commons Attribution 4.0 International Public License (CC BY</w:t>
      </w:r>
      <w:r>
        <w:t xml:space="preserve"> </w:t>
      </w:r>
      <w:r>
        <w:t xml:space="preserve">4.0). Any person may read, redistribute, translate, comment on, or adapt</w:t>
      </w:r>
      <w:r>
        <w:t xml:space="preserve"> </w:t>
      </w:r>
      <w:r>
        <w:t xml:space="preserve">the specification, subject to the attribution requirements of CC BY 4.0.</w:t>
      </w:r>
      <w:r>
        <w:t xml:space="preserve"> </w:t>
      </w:r>
      <w:r>
        <w:t xml:space="preserve">Implementations of the protocol are licensed under the TIP Protocol Code</w:t>
      </w:r>
      <w:r>
        <w:t xml:space="preserve"> </w:t>
      </w:r>
      <w:r>
        <w:t xml:space="preserve">License Version 1.0 (TIPCL-1.0) as described in Part X and Appendix F.</w:t>
      </w:r>
      <w:r>
        <w:t xml:space="preserve"> </w:t>
      </w:r>
      <w:r>
        <w:t xml:space="preserve">The licensing structure is designed to maximize the diffusion of the</w:t>
      </w:r>
      <w:r>
        <w:t xml:space="preserve"> </w:t>
      </w:r>
      <w:r>
        <w:t xml:space="preserve">specification while sustaining the institutional support necessary to</w:t>
      </w:r>
      <w:r>
        <w:t xml:space="preserve"> </w:t>
      </w:r>
      <w:r>
        <w:t xml:space="preserve">operate the protocol during the Founding Period and the early Network</w:t>
      </w:r>
      <w:r>
        <w:t xml:space="preserve"> </w:t>
      </w:r>
      <w:r>
        <w:t xml:space="preserve">Period. The Apache License 2.0 conversion provision on January 1, 2031</w:t>
      </w:r>
      <w:r>
        <w:t xml:space="preserve"> </w:t>
      </w:r>
      <w:r>
        <w:t xml:space="preserve">establishes a fixed horizon at which the implementation license becomes</w:t>
      </w:r>
      <w:r>
        <w:t xml:space="preserve"> </w:t>
      </w:r>
      <w:r>
        <w:t xml:space="preserve">permissive open source.</w:t>
      </w:r>
    </w:p>
    <w:p>
      <w:pPr>
        <w:pStyle w:val="BodyText"/>
      </w:pPr>
      <w:r>
        <w:t xml:space="preserve">The open specification principle is a regulatory commitment as well</w:t>
      </w:r>
      <w:r>
        <w:t xml:space="preserve"> </w:t>
      </w:r>
      <w:r>
        <w:t xml:space="preserve">as a technical commitment. A regulator, a researcher, or a competitor</w:t>
      </w:r>
      <w:r>
        <w:t xml:space="preserve"> </w:t>
      </w:r>
      <w:r>
        <w:t xml:space="preserve">may, at any time, inspect the specification, verify its conformance with</w:t>
      </w:r>
      <w:r>
        <w:t xml:space="preserve"> </w:t>
      </w:r>
      <w:r>
        <w:t xml:space="preserve">published standards, and develop independent implementations. The</w:t>
      </w:r>
      <w:r>
        <w:t xml:space="preserve"> </w:t>
      </w:r>
      <w:r>
        <w:t xml:space="preserve">protocol does not depend on proprietary secrets for its security</w:t>
      </w:r>
      <w:r>
        <w:t xml:space="preserve"> </w:t>
      </w:r>
      <w:r>
        <w:t xml:space="preserve">properties. Such security properties as the protocol possesses derive</w:t>
      </w:r>
      <w:r>
        <w:t xml:space="preserve"> </w:t>
      </w:r>
      <w:r>
        <w:t xml:space="preserve">from the cryptographic primitives, the architecture, and the</w:t>
      </w:r>
      <w:r>
        <w:t xml:space="preserve"> </w:t>
      </w:r>
      <w:r>
        <w:t xml:space="preserve">institutional governance, all of which are disclosed.</w:t>
      </w:r>
    </w:p>
    <w:p>
      <w:r>
        <w:pict>
          <v:rect style="width:0;height:1.5pt" o:hralign="center" o:hrstd="t" o:hr="t"/>
        </w:pict>
      </w:r>
    </w:p>
    <w:p>
      <w:pPr>
        <w:pStyle w:val="FirstParagraph"/>
      </w:pPr>
      <w:r>
        <w:rPr>
          <w:b/>
          <w:bCs/>
        </w:rPr>
        <w:t xml:space="preserve">Contact The AI Lab regarding Part II</w:t>
      </w:r>
    </w:p>
    <w:p>
      <w:pPr>
        <w:pStyle w:val="BodyText"/>
      </w:pPr>
      <w:r>
        <w:t xml:space="preserve">Technical Inquiries:</w:t>
      </w:r>
      <w:r>
        <w:t xml:space="preserve"> </w:t>
      </w:r>
      <w:r>
        <w:rPr>
          <w:rStyle w:val="VerbatimChar"/>
        </w:rPr>
        <w:t xml:space="preserve">tip@theailab.org</w:t>
      </w:r>
      <w:r>
        <w:t xml:space="preserve"> </w:t>
      </w:r>
      <w:r>
        <w:t xml:space="preserve">Standards</w:t>
      </w:r>
      <w:r>
        <w:t xml:space="preserve"> </w:t>
      </w:r>
      <w:r>
        <w:t xml:space="preserve">Engagement:</w:t>
      </w:r>
      <w:r>
        <w:t xml:space="preserve"> </w:t>
      </w:r>
      <w:r>
        <w:rPr>
          <w:rStyle w:val="VerbatimChar"/>
        </w:rPr>
        <w:t xml:space="preserve">standards@theailab.org</w:t>
      </w:r>
    </w:p>
    <w:p>
      <w:pPr>
        <w:pStyle w:val="BodyText"/>
      </w:pPr>
      <w:r>
        <w:t xml:space="preserve">The AI Lab Intelligence Unobscured, Inc. Wilmington, Delaware, United</w:t>
      </w:r>
      <w:r>
        <w:t xml:space="preserve"> </w:t>
      </w:r>
      <w:r>
        <w:t xml:space="preserve">States.</w:t>
      </w:r>
    </w:p>
    <w:bookmarkEnd w:id="55"/>
    <w:bookmarkEnd w:id="56"/>
    <w:bookmarkStart w:id="68" w:name="part-iii-cryptographic-foundation"/>
    <w:p>
      <w:pPr>
        <w:pStyle w:val="Heading1"/>
      </w:pPr>
      <w:r>
        <w:t xml:space="preserve">Part III: Cryptographic Foundation</w:t>
      </w:r>
    </w:p>
    <w:p>
      <w:pPr>
        <w:pStyle w:val="FirstParagraph"/>
      </w:pPr>
      <w:r>
        <w:t xml:space="preserve">This Part describes the cryptographic primitives, modes of operation,</w:t>
      </w:r>
      <w:r>
        <w:t xml:space="preserve"> </w:t>
      </w:r>
      <w:r>
        <w:t xml:space="preserve">and parameter selections from which the security properties of the Trust</w:t>
      </w:r>
      <w:r>
        <w:t xml:space="preserve"> </w:t>
      </w:r>
      <w:r>
        <w:t xml:space="preserve">Identity Protocol derive. The description is normative and is intended</w:t>
      </w:r>
      <w:r>
        <w:t xml:space="preserve"> </w:t>
      </w:r>
      <w:r>
        <w:t xml:space="preserve">to be sufficient for a chief technology officer, a principal engineer,</w:t>
      </w:r>
      <w:r>
        <w:t xml:space="preserve"> </w:t>
      </w:r>
      <w:r>
        <w:t xml:space="preserve">or a cryptographer to assess the security posture of the protocol. The</w:t>
      </w:r>
      <w:r>
        <w:t xml:space="preserve"> </w:t>
      </w:r>
      <w:r>
        <w:t xml:space="preserve">byte-level specification of each primitive is set out in the canonical</w:t>
      </w:r>
      <w:r>
        <w:t xml:space="preserve"> </w:t>
      </w:r>
      <w:r>
        <w:t xml:space="preserve">TIP Protocol Specification.</w:t>
      </w:r>
    </w:p>
    <w:bookmarkStart w:id="57" w:name="Xf55edadaad0d8b0e35a03d32aba0c9174f6d916"/>
    <w:p>
      <w:pPr>
        <w:pStyle w:val="Heading2"/>
      </w:pPr>
      <w:r>
        <w:t xml:space="preserve">3.1 Standards landscape and rationale for the NIST post-quantum suite</w:t>
      </w:r>
    </w:p>
    <w:p>
      <w:pPr>
        <w:pStyle w:val="FirstParagraph"/>
      </w:pPr>
      <w:r>
        <w:t xml:space="preserve">In August 2024, the United States National Institute of Standards and</w:t>
      </w:r>
      <w:r>
        <w:t xml:space="preserve"> </w:t>
      </w:r>
      <w:r>
        <w:t xml:space="preserve">Technology published three Federal Information Processing Standards</w:t>
      </w:r>
      <w:r>
        <w:t xml:space="preserve"> </w:t>
      </w:r>
      <w:r>
        <w:t xml:space="preserve">establishing the first government-recommended post-quantum cryptographic</w:t>
      </w:r>
      <w:r>
        <w:t xml:space="preserve"> </w:t>
      </w:r>
      <w:r>
        <w:t xml:space="preserve">suite for general-purpose digital signature and key encapsulation. The</w:t>
      </w:r>
      <w:r>
        <w:t xml:space="preserve"> </w:t>
      </w:r>
      <w:r>
        <w:t xml:space="preserve">three standards are FIPS 203 (Module-Lattice-Based Key-Encapsulation</w:t>
      </w:r>
      <w:r>
        <w:t xml:space="preserve"> </w:t>
      </w:r>
      <w:r>
        <w:t xml:space="preserve">Mechanism Standard), FIPS 204 (Module-Lattice-Based Digital Signature</w:t>
      </w:r>
      <w:r>
        <w:t xml:space="preserve"> </w:t>
      </w:r>
      <w:r>
        <w:t xml:space="preserve">Standard), and FIPS 205 (Stateless Hash-Based Digital Signature</w:t>
      </w:r>
      <w:r>
        <w:t xml:space="preserve"> </w:t>
      </w:r>
      <w:r>
        <w:t xml:space="preserve">Standard). The Trust Identity Protocol selects its primary primitives</w:t>
      </w:r>
      <w:r>
        <w:t xml:space="preserve"> </w:t>
      </w:r>
      <w:r>
        <w:t xml:space="preserve">from these three standards.</w:t>
      </w:r>
    </w:p>
    <w:p>
      <w:pPr>
        <w:pStyle w:val="BodyText"/>
      </w:pPr>
      <w:r>
        <w:t xml:space="preserve">The selection rests on six considerations.</w:t>
      </w:r>
    </w:p>
    <w:p>
      <w:pPr>
        <w:pStyle w:val="BodyText"/>
      </w:pPr>
      <w:r>
        <w:rPr>
          <w:b/>
          <w:bCs/>
        </w:rPr>
        <w:t xml:space="preserve">Public review.</w:t>
      </w:r>
      <w:r>
        <w:t xml:space="preserve"> </w:t>
      </w:r>
      <w:r>
        <w:t xml:space="preserve">The primitives standardized by NIST</w:t>
      </w:r>
      <w:r>
        <w:t xml:space="preserve"> </w:t>
      </w:r>
      <w:r>
        <w:t xml:space="preserve">in 2024 are the survivors of a multi-year, multi-round public</w:t>
      </w:r>
      <w:r>
        <w:t xml:space="preserve"> </w:t>
      </w:r>
      <w:r>
        <w:t xml:space="preserve">standardization process in which candidate primitives were subjected to</w:t>
      </w:r>
      <w:r>
        <w:t xml:space="preserve"> </w:t>
      </w:r>
      <w:r>
        <w:t xml:space="preserve">cryptanalytic review by the international research community. The</w:t>
      </w:r>
      <w:r>
        <w:t xml:space="preserve"> </w:t>
      </w:r>
      <w:r>
        <w:t xml:space="preserve">selected primitives have been the subject of more public review than any</w:t>
      </w:r>
      <w:r>
        <w:t xml:space="preserve"> </w:t>
      </w:r>
      <w:r>
        <w:t xml:space="preserve">other post-quantum candidates as of the publication of this</w:t>
      </w:r>
      <w:r>
        <w:t xml:space="preserve"> </w:t>
      </w:r>
      <w:r>
        <w:t xml:space="preserve">whitepaper.</w:t>
      </w:r>
    </w:p>
    <w:p>
      <w:pPr>
        <w:pStyle w:val="BodyText"/>
      </w:pPr>
      <w:r>
        <w:rPr>
          <w:b/>
          <w:bCs/>
        </w:rPr>
        <w:t xml:space="preserve">Government endorsement.</w:t>
      </w:r>
      <w:r>
        <w:t xml:space="preserve"> </w:t>
      </w:r>
      <w:r>
        <w:t xml:space="preserve">The selection of the</w:t>
      </w:r>
      <w:r>
        <w:t xml:space="preserve"> </w:t>
      </w:r>
      <w:r>
        <w:t xml:space="preserve">primitives by NIST has been followed by adoption guidance from the</w:t>
      </w:r>
      <w:r>
        <w:t xml:space="preserve"> </w:t>
      </w:r>
      <w:r>
        <w:t xml:space="preserve">United States National Security Agency (Commercial National Security</w:t>
      </w:r>
      <w:r>
        <w:t xml:space="preserve"> </w:t>
      </w:r>
      <w:r>
        <w:t xml:space="preserve">Algorithm Suite 2.0), the Bundesamt für Sicherheit in der</w:t>
      </w:r>
      <w:r>
        <w:t xml:space="preserve"> </w:t>
      </w:r>
      <w:r>
        <w:t xml:space="preserve">Informationstechnik in Germany, the Agence nationale de la sécurité des</w:t>
      </w:r>
      <w:r>
        <w:t xml:space="preserve"> </w:t>
      </w:r>
      <w:r>
        <w:t xml:space="preserve">systèmes d’information in France, the Centrum Wiskunde &amp; Informatica</w:t>
      </w:r>
      <w:r>
        <w:t xml:space="preserve"> </w:t>
      </w:r>
      <w:r>
        <w:t xml:space="preserve">in the Netherlands, the Canadian Centre for Cyber Security, and others.</w:t>
      </w:r>
      <w:r>
        <w:t xml:space="preserve"> </w:t>
      </w:r>
      <w:r>
        <w:t xml:space="preserve">The European Telecommunications Standards Institute and the European</w:t>
      </w:r>
      <w:r>
        <w:t xml:space="preserve"> </w:t>
      </w:r>
      <w:r>
        <w:t xml:space="preserve">Union Agency for Cybersecurity have published roadmaps incorporating the</w:t>
      </w:r>
      <w:r>
        <w:t xml:space="preserve"> </w:t>
      </w:r>
      <w:r>
        <w:t xml:space="preserve">NIST primitives into European standards.</w:t>
      </w:r>
    </w:p>
    <w:p>
      <w:pPr>
        <w:pStyle w:val="BodyText"/>
      </w:pPr>
      <w:r>
        <w:rPr>
          <w:b/>
          <w:bCs/>
        </w:rPr>
        <w:t xml:space="preserve">Long-tail durability.</w:t>
      </w:r>
      <w:r>
        <w:t xml:space="preserve"> </w:t>
      </w:r>
      <w:r>
        <w:t xml:space="preserve">A signature applied to a unit</w:t>
      </w:r>
      <w:r>
        <w:t xml:space="preserve"> </w:t>
      </w:r>
      <w:r>
        <w:t xml:space="preserve">of content today and recorded on the federated DAG is expected to remain</w:t>
      </w:r>
      <w:r>
        <w:t xml:space="preserve"> </w:t>
      </w:r>
      <w:r>
        <w:t xml:space="preserve">verifiable for decades. The cryptographic guidance of NIST, ENISA, and</w:t>
      </w:r>
      <w:r>
        <w:t xml:space="preserve"> </w:t>
      </w:r>
      <w:r>
        <w:t xml:space="preserve">analogous bodies converged between 2022 and 2024 on the position that</w:t>
      </w:r>
      <w:r>
        <w:t xml:space="preserve"> </w:t>
      </w:r>
      <w:r>
        <w:t xml:space="preserve">classical primitives (ECDSA, RSA, Ed25519) applied today carry a</w:t>
      </w:r>
      <w:r>
        <w:t xml:space="preserve"> </w:t>
      </w:r>
      <w:r>
        <w:t xml:space="preserve">non-negligible risk of retroactive forgeability against an adversary</w:t>
      </w:r>
      <w:r>
        <w:t xml:space="preserve"> </w:t>
      </w:r>
      <w:r>
        <w:t xml:space="preserve">holding a quantum computing capability not presently possessed by any</w:t>
      </w:r>
      <w:r>
        <w:t xml:space="preserve"> </w:t>
      </w:r>
      <w:r>
        <w:t xml:space="preserve">known actor but believed to be plausibly achievable within the working</w:t>
      </w:r>
      <w:r>
        <w:t xml:space="preserve"> </w:t>
      </w:r>
      <w:r>
        <w:t xml:space="preserve">life of records being signed today.</w:t>
      </w:r>
    </w:p>
    <w:p>
      <w:pPr>
        <w:pStyle w:val="BodyText"/>
      </w:pPr>
      <w:r>
        <w:rPr>
          <w:b/>
          <w:bCs/>
        </w:rPr>
        <w:t xml:space="preserve">Implementation maturity.</w:t>
      </w:r>
      <w:r>
        <w:t xml:space="preserve"> </w:t>
      </w:r>
      <w:r>
        <w:t xml:space="preserve">Reference implementations</w:t>
      </w:r>
      <w:r>
        <w:t xml:space="preserve"> </w:t>
      </w:r>
      <w:r>
        <w:t xml:space="preserve">of ML-KEM, ML-DSA, and SLH-DSA are available in C, Rust, and JavaScript</w:t>
      </w:r>
      <w:r>
        <w:t xml:space="preserve"> </w:t>
      </w:r>
      <w:r>
        <w:t xml:space="preserve">and have been integrated into the cryptographic libraries of OpenSSL,</w:t>
      </w:r>
      <w:r>
        <w:t xml:space="preserve"> </w:t>
      </w:r>
      <w:r>
        <w:t xml:space="preserve">BoringSSL, AWS-LC, and Mozilla NSS. The deployment of the NIST</w:t>
      </w:r>
      <w:r>
        <w:t xml:space="preserve"> </w:t>
      </w:r>
      <w:r>
        <w:t xml:space="preserve">primitives at the publication of this whitepaper is not</w:t>
      </w:r>
      <w:r>
        <w:t xml:space="preserve"> </w:t>
      </w:r>
      <w:r>
        <w:t xml:space="preserve">experimental.</w:t>
      </w:r>
    </w:p>
    <w:p>
      <w:pPr>
        <w:pStyle w:val="BodyText"/>
      </w:pPr>
      <w:r>
        <w:rPr>
          <w:b/>
          <w:bCs/>
        </w:rPr>
        <w:t xml:space="preserve">Interoperability.</w:t>
      </w:r>
      <w:r>
        <w:t xml:space="preserve"> </w:t>
      </w:r>
      <w:r>
        <w:t xml:space="preserve">The selection of NIST primitives</w:t>
      </w:r>
      <w:r>
        <w:t xml:space="preserve"> </w:t>
      </w:r>
      <w:r>
        <w:t xml:space="preserve">aligns the protocol with the cryptographic posture toward which the</w:t>
      </w:r>
      <w:r>
        <w:t xml:space="preserve"> </w:t>
      </w:r>
      <w:r>
        <w:t xml:space="preserve">standards-setting bodies of the European Union, the United Kingdom,</w:t>
      </w:r>
      <w:r>
        <w:t xml:space="preserve"> </w:t>
      </w:r>
      <w:r>
        <w:t xml:space="preserve">Canada, Australia, New Zealand, Japan, and others are converging.</w:t>
      </w:r>
    </w:p>
    <w:p>
      <w:pPr>
        <w:pStyle w:val="BodyText"/>
      </w:pPr>
      <w:r>
        <w:rPr>
          <w:b/>
          <w:bCs/>
        </w:rPr>
        <w:t xml:space="preserve">Migration avoidance.</w:t>
      </w:r>
      <w:r>
        <w:t xml:space="preserve"> </w:t>
      </w:r>
      <w:r>
        <w:t xml:space="preserve">The protocol is designed</w:t>
      </w:r>
      <w:r>
        <w:t xml:space="preserve"> </w:t>
      </w:r>
      <w:r>
        <w:t xml:space="preserve">against post-quantum primitives from the genesis of the network,</w:t>
      </w:r>
      <w:r>
        <w:t xml:space="preserve"> </w:t>
      </w:r>
      <w:r>
        <w:t xml:space="preserve">avoiding a future migration from classical primitives to post-quantum</w:t>
      </w:r>
      <w:r>
        <w:t xml:space="preserve"> </w:t>
      </w:r>
      <w:r>
        <w:t xml:space="preserve">primitives undertaken after a federated network with a large installed</w:t>
      </w:r>
      <w:r>
        <w:t xml:space="preserve"> </w:t>
      </w:r>
      <w:r>
        <w:t xml:space="preserve">base is in operation.</w:t>
      </w:r>
    </w:p>
    <w:bookmarkEnd w:id="57"/>
    <w:bookmarkStart w:id="58" w:name="ml-kem-768-fips-203-key-encapsulation"/>
    <w:p>
      <w:pPr>
        <w:pStyle w:val="Heading2"/>
      </w:pPr>
      <w:r>
        <w:t xml:space="preserve">3.2 ML-KEM-768 (FIPS 203) key encapsulation</w:t>
      </w:r>
    </w:p>
    <w:p>
      <w:pPr>
        <w:pStyle w:val="FirstParagraph"/>
      </w:pPr>
      <w:r>
        <w:t xml:space="preserve">ML-KEM, the Module-Lattice-Based Key-Encapsulation Mechanism, is the</w:t>
      </w:r>
      <w:r>
        <w:t xml:space="preserve"> </w:t>
      </w:r>
      <w:r>
        <w:t xml:space="preserve">primary key encapsulation mechanism of the Trust Identity Protocol. The</w:t>
      </w:r>
      <w:r>
        <w:t xml:space="preserve"> </w:t>
      </w:r>
      <w:r>
        <w:t xml:space="preserve">protocol uses parameter set ML-KEM-768, providing security strength</w:t>
      </w:r>
      <w:r>
        <w:t xml:space="preserve"> </w:t>
      </w:r>
      <w:r>
        <w:t xml:space="preserve">equivalent to Category 3 in the NIST post-quantum security framework</w:t>
      </w:r>
      <w:r>
        <w:t xml:space="preserve"> </w:t>
      </w:r>
      <w:r>
        <w:t xml:space="preserve">(approximately 192-bit symmetric security).</w:t>
      </w:r>
    </w:p>
    <w:p>
      <w:pPr>
        <w:pStyle w:val="BodyText"/>
      </w:pPr>
      <w:r>
        <w:t xml:space="preserve">ML-KEM-768 is used by the protocol in three contexts.</w:t>
      </w:r>
    </w:p>
    <w:p>
      <w:pPr>
        <w:pStyle w:val="BodyText"/>
      </w:pPr>
      <w:r>
        <w:rPr>
          <w:b/>
          <w:bCs/>
        </w:rPr>
        <w:t xml:space="preserve">Session key establishment for transport security.</w:t>
      </w:r>
      <w:r>
        <w:t xml:space="preserve"> </w:t>
      </w:r>
      <w:r>
        <w:t xml:space="preserve">When a CTID holder, a Verification Provider, a Node Operator, or a</w:t>
      </w:r>
      <w:r>
        <w:t xml:space="preserve"> </w:t>
      </w:r>
      <w:r>
        <w:t xml:space="preserve">reader establishes a TLS 1.3 session with another participant in the</w:t>
      </w:r>
      <w:r>
        <w:t xml:space="preserve"> </w:t>
      </w:r>
      <w:r>
        <w:t xml:space="preserve">protocol, the session is established using a hybrid key agreement</w:t>
      </w:r>
      <w:r>
        <w:t xml:space="preserve"> </w:t>
      </w:r>
      <w:r>
        <w:t xml:space="preserve">combining classical X25519 with ML-KEM-768. The hybrid approach</w:t>
      </w:r>
      <w:r>
        <w:t xml:space="preserve"> </w:t>
      </w:r>
      <w:r>
        <w:t xml:space="preserve">preserves the security properties of the classical key agreement while</w:t>
      </w:r>
      <w:r>
        <w:t xml:space="preserve"> </w:t>
      </w:r>
      <w:r>
        <w:t xml:space="preserve">adding the security properties of the post-quantum key agreement,</w:t>
      </w:r>
      <w:r>
        <w:t xml:space="preserve"> </w:t>
      </w:r>
      <w:r>
        <w:t xml:space="preserve">against an adversary holding a quantum computing capability sufficient</w:t>
      </w:r>
      <w:r>
        <w:t xml:space="preserve"> </w:t>
      </w:r>
      <w:r>
        <w:t xml:space="preserve">to break the classical key agreement.</w:t>
      </w:r>
    </w:p>
    <w:p>
      <w:pPr>
        <w:pStyle w:val="BodyText"/>
      </w:pPr>
      <w:r>
        <w:rPr>
          <w:b/>
          <w:bCs/>
        </w:rPr>
        <w:t xml:space="preserve">Encryption of CTID provisioning material.</w:t>
      </w:r>
      <w:r>
        <w:t xml:space="preserve"> </w:t>
      </w:r>
      <w:r>
        <w:t xml:space="preserve">When a</w:t>
      </w:r>
      <w:r>
        <w:t xml:space="preserve"> </w:t>
      </w:r>
      <w:r>
        <w:t xml:space="preserve">Verification Provider provisions a CTID to a holder, sensitive</w:t>
      </w:r>
      <w:r>
        <w:t xml:space="preserve"> </w:t>
      </w:r>
      <w:r>
        <w:t xml:space="preserve">provisioning material is encapsulated under ML-KEM-768 using a public</w:t>
      </w:r>
      <w:r>
        <w:t xml:space="preserve"> </w:t>
      </w:r>
      <w:r>
        <w:t xml:space="preserve">key supplied by the holder’s WebAuthn resident key authenticator. The</w:t>
      </w:r>
      <w:r>
        <w:t xml:space="preserve"> </w:t>
      </w:r>
      <w:r>
        <w:t xml:space="preserve">encapsulated material is recoverable only by the holder.</w:t>
      </w:r>
    </w:p>
    <w:p>
      <w:pPr>
        <w:pStyle w:val="BodyText"/>
      </w:pPr>
      <w:r>
        <w:rPr>
          <w:b/>
          <w:bCs/>
        </w:rPr>
        <w:t xml:space="preserve">Encryption of audit records.</w:t>
      </w:r>
      <w:r>
        <w:t xml:space="preserve"> </w:t>
      </w:r>
      <w:r>
        <w:t xml:space="preserve">Audit records produced</w:t>
      </w:r>
      <w:r>
        <w:t xml:space="preserve"> </w:t>
      </w:r>
      <w:r>
        <w:t xml:space="preserve">by a Verification Provider and transmitted to an auditor are</w:t>
      </w:r>
      <w:r>
        <w:t xml:space="preserve"> </w:t>
      </w:r>
      <w:r>
        <w:t xml:space="preserve">encapsulated under ML-KEM-768 using a public key published by the</w:t>
      </w:r>
      <w:r>
        <w:t xml:space="preserve"> </w:t>
      </w:r>
      <w:r>
        <w:t xml:space="preserve">auditor.</w:t>
      </w:r>
    </w:p>
    <w:p>
      <w:pPr>
        <w:pStyle w:val="BodyText"/>
      </w:pPr>
      <w:r>
        <w:t xml:space="preserve">The parameter selection is conservative. ML-KEM-768 provides a margin</w:t>
      </w:r>
      <w:r>
        <w:t xml:space="preserve"> </w:t>
      </w:r>
      <w:r>
        <w:t xml:space="preserve">of security against future improvements in lattice-based cryptanalysis</w:t>
      </w:r>
      <w:r>
        <w:t xml:space="preserve"> </w:t>
      </w:r>
      <w:r>
        <w:t xml:space="preserve">without imposing a prohibitive bandwidth or computational cost on the</w:t>
      </w:r>
      <w:r>
        <w:t xml:space="preserve"> </w:t>
      </w:r>
      <w:r>
        <w:t xml:space="preserve">protocol’s principal operations.</w:t>
      </w:r>
    </w:p>
    <w:bookmarkEnd w:id="58"/>
    <w:bookmarkStart w:id="59" w:name="Xb139225ccea7accd88aad46ed4a50383dc69a17"/>
    <w:p>
      <w:pPr>
        <w:pStyle w:val="Heading2"/>
      </w:pPr>
      <w:r>
        <w:t xml:space="preserve">3.3 ML-DSA-65 (FIPS 204) primary signature scheme</w:t>
      </w:r>
    </w:p>
    <w:p>
      <w:pPr>
        <w:pStyle w:val="FirstParagraph"/>
      </w:pPr>
      <w:r>
        <w:t xml:space="preserve">ML-DSA, the Module-Lattice-Based Digital Signature Algorithm, is the</w:t>
      </w:r>
      <w:r>
        <w:t xml:space="preserve"> </w:t>
      </w:r>
      <w:r>
        <w:t xml:space="preserve">primary signature scheme of the Trust Identity Protocol. The protocol</w:t>
      </w:r>
      <w:r>
        <w:t xml:space="preserve"> </w:t>
      </w:r>
      <w:r>
        <w:t xml:space="preserve">uses parameter set ML-DSA-65, providing security strength equivalent to</w:t>
      </w:r>
      <w:r>
        <w:t xml:space="preserve"> </w:t>
      </w:r>
      <w:r>
        <w:t xml:space="preserve">Category 3 (approximately 192-bit classical security and approximately</w:t>
      </w:r>
      <w:r>
        <w:t xml:space="preserve"> </w:t>
      </w:r>
      <w:r>
        <w:t xml:space="preserve">128-bit quantum security).</w:t>
      </w:r>
    </w:p>
    <w:p>
      <w:pPr>
        <w:pStyle w:val="BodyText"/>
      </w:pPr>
      <w:r>
        <w:t xml:space="preserve">ML-DSA-65 is used by the protocol in four contexts.</w:t>
      </w:r>
    </w:p>
    <w:p>
      <w:pPr>
        <w:pStyle w:val="BodyText"/>
      </w:pPr>
      <w:r>
        <w:rPr>
          <w:b/>
          <w:bCs/>
        </w:rPr>
        <w:t xml:space="preserve">Signature of TIP-CONTENT records.</w:t>
      </w:r>
      <w:r>
        <w:t xml:space="preserve"> </w:t>
      </w:r>
      <w:r>
        <w:t xml:space="preserve">A CTID holder</w:t>
      </w:r>
      <w:r>
        <w:t xml:space="preserve"> </w:t>
      </w:r>
      <w:r>
        <w:t xml:space="preserve">signs the CNA-2.2 fingerprint of a unit of content using the ML-DSA-65</w:t>
      </w:r>
      <w:r>
        <w:t xml:space="preserve"> </w:t>
      </w:r>
      <w:r>
        <w:t xml:space="preserve">private key associated with the holder’s CTID. The signature, together</w:t>
      </w:r>
      <w:r>
        <w:t xml:space="preserve"> </w:t>
      </w:r>
      <w:r>
        <w:t xml:space="preserve">with the fingerprint, the Origin Code, and the metadata defined in Part</w:t>
      </w:r>
      <w:r>
        <w:t xml:space="preserve"> </w:t>
      </w:r>
      <w:r>
        <w:t xml:space="preserve">V, constitutes the TIP-CONTENT record. The signature is published to the</w:t>
      </w:r>
      <w:r>
        <w:t xml:space="preserve"> </w:t>
      </w:r>
      <w:r>
        <w:t xml:space="preserve">federated DAG.</w:t>
      </w:r>
    </w:p>
    <w:p>
      <w:pPr>
        <w:pStyle w:val="BodyText"/>
      </w:pPr>
      <w:r>
        <w:rPr>
          <w:b/>
          <w:bCs/>
        </w:rPr>
        <w:t xml:space="preserve">Signature of CTID issuance certificates.</w:t>
      </w:r>
      <w:r>
        <w:t xml:space="preserve"> </w:t>
      </w:r>
      <w:r>
        <w:t xml:space="preserve">A</w:t>
      </w:r>
      <w:r>
        <w:t xml:space="preserve"> </w:t>
      </w:r>
      <w:r>
        <w:t xml:space="preserve">Verification Provider, on issuing a CTID to a holder, signs an issuance</w:t>
      </w:r>
      <w:r>
        <w:t xml:space="preserve"> </w:t>
      </w:r>
      <w:r>
        <w:t xml:space="preserve">certificate binding the CTID to the holder’s WebAuthn credential public</w:t>
      </w:r>
      <w:r>
        <w:t xml:space="preserve"> </w:t>
      </w:r>
      <w:r>
        <w:t xml:space="preserve">key and to the issuance metadata. The signature is performed using the</w:t>
      </w:r>
      <w:r>
        <w:t xml:space="preserve"> </w:t>
      </w:r>
      <w:r>
        <w:t xml:space="preserve">Verification Provider’s ML-DSA-65 private key. The signature is</w:t>
      </w:r>
      <w:r>
        <w:t xml:space="preserve"> </w:t>
      </w:r>
      <w:r>
        <w:t xml:space="preserve">verifiable by any participant using the Verification Provider’s public</w:t>
      </w:r>
      <w:r>
        <w:t xml:space="preserve"> </w:t>
      </w:r>
      <w:r>
        <w:t xml:space="preserve">key published in the Verification Provider Registry.</w:t>
      </w:r>
    </w:p>
    <w:p>
      <w:pPr>
        <w:pStyle w:val="BodyText"/>
      </w:pPr>
      <w:r>
        <w:rPr>
          <w:b/>
          <w:bCs/>
        </w:rPr>
        <w:t xml:space="preserve">Signature of suspension, revocation, and adjudication</w:t>
      </w:r>
      <w:r>
        <w:rPr>
          <w:b/>
          <w:bCs/>
        </w:rPr>
        <w:t xml:space="preserve"> </w:t>
      </w:r>
      <w:r>
        <w:rPr>
          <w:b/>
          <w:bCs/>
        </w:rPr>
        <w:t xml:space="preserve">events.</w:t>
      </w:r>
      <w:r>
        <w:t xml:space="preserve"> </w:t>
      </w:r>
      <w:r>
        <w:t xml:space="preserve">Suspension, revocation, and adjudication events are</w:t>
      </w:r>
      <w:r>
        <w:t xml:space="preserve"> </w:t>
      </w:r>
      <w:r>
        <w:t xml:space="preserve">signed by the issuing Verification Provider (for events affecting CTIDs</w:t>
      </w:r>
      <w:r>
        <w:t xml:space="preserve"> </w:t>
      </w:r>
      <w:r>
        <w:t xml:space="preserve">the provider issued) or by the AI Trust Council (for events affecting</w:t>
      </w:r>
      <w:r>
        <w:t xml:space="preserve"> </w:t>
      </w:r>
      <w:r>
        <w:t xml:space="preserve">Verification Provider accreditations). The signatures are published to</w:t>
      </w:r>
      <w:r>
        <w:t xml:space="preserve"> </w:t>
      </w:r>
      <w:r>
        <w:t xml:space="preserve">the federated DAG.</w:t>
      </w:r>
    </w:p>
    <w:p>
      <w:pPr>
        <w:pStyle w:val="BodyText"/>
      </w:pPr>
      <w:r>
        <w:rPr>
          <w:b/>
          <w:bCs/>
        </w:rPr>
        <w:t xml:space="preserve">Signature of Node Operator commitments.</w:t>
      </w:r>
      <w:r>
        <w:t xml:space="preserve"> </w:t>
      </w:r>
      <w:r>
        <w:t xml:space="preserve">A Node</w:t>
      </w:r>
      <w:r>
        <w:t xml:space="preserve"> </w:t>
      </w:r>
      <w:r>
        <w:t xml:space="preserve">Operator periodically signs a commitment to the state of the DAG segment</w:t>
      </w:r>
      <w:r>
        <w:t xml:space="preserve"> </w:t>
      </w:r>
      <w:r>
        <w:t xml:space="preserve">it maintains, in accordance with the synchronization protocol described</w:t>
      </w:r>
      <w:r>
        <w:t xml:space="preserve"> </w:t>
      </w:r>
      <w:r>
        <w:t xml:space="preserve">in Part VII. The commitment is published to the DAG and is the basis for</w:t>
      </w:r>
      <w:r>
        <w:t xml:space="preserve"> </w:t>
      </w:r>
      <w:r>
        <w:t xml:space="preserve">the federation’s consistency protocol.</w:t>
      </w:r>
    </w:p>
    <w:p>
      <w:pPr>
        <w:pStyle w:val="BodyText"/>
      </w:pPr>
      <w:r>
        <w:t xml:space="preserve">The selection of ML-DSA-65 over the higher-strength parameter set</w:t>
      </w:r>
      <w:r>
        <w:t xml:space="preserve"> </w:t>
      </w:r>
      <w:r>
        <w:t xml:space="preserve">ML-DSA-87 reflects the cost-security tradeoff. ML-DSA-65 produces a</w:t>
      </w:r>
      <w:r>
        <w:t xml:space="preserve"> </w:t>
      </w:r>
      <w:r>
        <w:t xml:space="preserve">signature of approximately 3,300 bytes and a public key of approximately</w:t>
      </w:r>
      <w:r>
        <w:t xml:space="preserve"> </w:t>
      </w:r>
      <w:r>
        <w:t xml:space="preserve">1,950 bytes, which is bandwidth-acceptable on the operational paths of</w:t>
      </w:r>
      <w:r>
        <w:t xml:space="preserve"> </w:t>
      </w:r>
      <w:r>
        <w:t xml:space="preserve">the protocol. ML-DSA-87 produces signatures of approximately 4,600 bytes</w:t>
      </w:r>
      <w:r>
        <w:t xml:space="preserve"> </w:t>
      </w:r>
      <w:r>
        <w:t xml:space="preserve">and is reserved for the long-term archival use case described in Section</w:t>
      </w:r>
      <w:r>
        <w:t xml:space="preserve"> </w:t>
      </w:r>
      <w:r>
        <w:t xml:space="preserve">3.4.</w:t>
      </w:r>
    </w:p>
    <w:bookmarkEnd w:id="59"/>
    <w:bookmarkStart w:id="60" w:name="X7a63cbf1f3e4b223603b53e359b6f522ddcbe6e"/>
    <w:p>
      <w:pPr>
        <w:pStyle w:val="Heading2"/>
      </w:pPr>
      <w:r>
        <w:t xml:space="preserve">3.4 SLH-DSA (FIPS 205) hash-based signature fallback</w:t>
      </w:r>
    </w:p>
    <w:p>
      <w:pPr>
        <w:pStyle w:val="FirstParagraph"/>
      </w:pPr>
      <w:r>
        <w:t xml:space="preserve">SLH-DSA, the Stateless Hash-Based Digital Signature Algorithm, is</w:t>
      </w:r>
      <w:r>
        <w:t xml:space="preserve"> </w:t>
      </w:r>
      <w:r>
        <w:t xml:space="preserve">included in the protocol as a fallback signature scheme for long-term</w:t>
      </w:r>
      <w:r>
        <w:t xml:space="preserve"> </w:t>
      </w:r>
      <w:r>
        <w:t xml:space="preserve">archival and for the high-assurance signature of protocol-critical</w:t>
      </w:r>
      <w:r>
        <w:t xml:space="preserve"> </w:t>
      </w:r>
      <w:r>
        <w:t xml:space="preserve">events.</w:t>
      </w:r>
    </w:p>
    <w:p>
      <w:pPr>
        <w:pStyle w:val="BodyText"/>
      </w:pPr>
      <w:r>
        <w:t xml:space="preserve">The principal property of SLH-DSA, relative to ML-DSA, is that its</w:t>
      </w:r>
      <w:r>
        <w:t xml:space="preserve"> </w:t>
      </w:r>
      <w:r>
        <w:t xml:space="preserve">security rests only on the security of the underlying hash function</w:t>
      </w:r>
      <w:r>
        <w:t xml:space="preserve"> </w:t>
      </w:r>
      <w:r>
        <w:t xml:space="preserve">(SHA2-256 or SHAKE-256) and not on the conjectured hardness of any</w:t>
      </w:r>
      <w:r>
        <w:t xml:space="preserve"> </w:t>
      </w:r>
      <w:r>
        <w:t xml:space="preserve">algebraic problem. In the event that a future cryptanalytic development</w:t>
      </w:r>
      <w:r>
        <w:t xml:space="preserve"> </w:t>
      </w:r>
      <w:r>
        <w:t xml:space="preserve">materially reduces the security of lattice-based primitives, SLH-DSA</w:t>
      </w:r>
      <w:r>
        <w:t xml:space="preserve"> </w:t>
      </w:r>
      <w:r>
        <w:t xml:space="preserve">remains secure subject only to the security of the hash function.</w:t>
      </w:r>
    </w:p>
    <w:p>
      <w:pPr>
        <w:pStyle w:val="BodyText"/>
      </w:pPr>
      <w:r>
        <w:t xml:space="preserve">SLH-DSA is used by the protocol in two contexts.</w:t>
      </w:r>
    </w:p>
    <w:p>
      <w:pPr>
        <w:pStyle w:val="BodyText"/>
      </w:pPr>
      <w:r>
        <w:rPr>
          <w:b/>
          <w:bCs/>
        </w:rPr>
        <w:t xml:space="preserve">Long-term archival signatures.</w:t>
      </w:r>
      <w:r>
        <w:t xml:space="preserve"> </w:t>
      </w:r>
      <w:r>
        <w:t xml:space="preserve">A publisher or a</w:t>
      </w:r>
      <w:r>
        <w:t xml:space="preserve"> </w:t>
      </w:r>
      <w:r>
        <w:t xml:space="preserve">journalism organization electing to retain signed content under</w:t>
      </w:r>
      <w:r>
        <w:t xml:space="preserve"> </w:t>
      </w:r>
      <w:r>
        <w:t xml:space="preserve">cryptographic guarantee for the long term (decades to a century) may opt</w:t>
      </w:r>
      <w:r>
        <w:t xml:space="preserve"> </w:t>
      </w:r>
      <w:r>
        <w:t xml:space="preserve">to apply a SLH-DSA signature in addition to the ML-DSA-65 signature. The</w:t>
      </w:r>
      <w:r>
        <w:t xml:space="preserve"> </w:t>
      </w:r>
      <w:r>
        <w:t xml:space="preserve">dual signature is published to the federated DAG. The SLH-DSA signature</w:t>
      </w:r>
      <w:r>
        <w:t xml:space="preserve"> </w:t>
      </w:r>
      <w:r>
        <w:t xml:space="preserve">preserves verifiability under a wider range of cryptographic</w:t>
      </w:r>
      <w:r>
        <w:t xml:space="preserve"> </w:t>
      </w:r>
      <w:r>
        <w:t xml:space="preserve">futures.</w:t>
      </w:r>
    </w:p>
    <w:p>
      <w:pPr>
        <w:pStyle w:val="BodyText"/>
      </w:pPr>
      <w:r>
        <w:rPr>
          <w:b/>
          <w:bCs/>
        </w:rPr>
        <w:t xml:space="preserve">High-assurance protocol events.</w:t>
      </w:r>
      <w:r>
        <w:t xml:space="preserve"> </w:t>
      </w:r>
      <w:r>
        <w:t xml:space="preserve">Certain</w:t>
      </w:r>
      <w:r>
        <w:t xml:space="preserve"> </w:t>
      </w:r>
      <w:r>
        <w:t xml:space="preserve">protocol-critical events, including the genesis of a Verification</w:t>
      </w:r>
      <w:r>
        <w:t xml:space="preserve"> </w:t>
      </w:r>
      <w:r>
        <w:t xml:space="preserve">Provider accreditation and the activation of a new Charter version of</w:t>
      </w:r>
      <w:r>
        <w:t xml:space="preserve"> </w:t>
      </w:r>
      <w:r>
        <w:t xml:space="preserve">the AI Trust Council, are signed using SLH-DSA in addition to ML-DSA-65.</w:t>
      </w:r>
      <w:r>
        <w:t xml:space="preserve"> </w:t>
      </w:r>
      <w:r>
        <w:t xml:space="preserve">The dual signature is published to the federated DAG.</w:t>
      </w:r>
    </w:p>
    <w:p>
      <w:pPr>
        <w:pStyle w:val="BodyText"/>
      </w:pPr>
      <w:r>
        <w:t xml:space="preserve">The bandwidth cost of SLH-DSA (signatures of approximately 16,000 to</w:t>
      </w:r>
      <w:r>
        <w:t xml:space="preserve"> </w:t>
      </w:r>
      <w:r>
        <w:t xml:space="preserve">50,000 bytes depending on parameter selection) makes it unsuitable for</w:t>
      </w:r>
      <w:r>
        <w:t xml:space="preserve"> </w:t>
      </w:r>
      <w:r>
        <w:t xml:space="preserve">the per-content signature path. The protocol uses parameter set</w:t>
      </w:r>
      <w:r>
        <w:t xml:space="preserve"> </w:t>
      </w:r>
      <w:r>
        <w:t xml:space="preserve">SLH-DSA-SHA2-192s for the optional contexts described above, providing</w:t>
      </w:r>
      <w:r>
        <w:t xml:space="preserve"> </w:t>
      </w:r>
      <w:r>
        <w:t xml:space="preserve">approximately 192-bit classical security with a signature size of</w:t>
      </w:r>
      <w:r>
        <w:t xml:space="preserve"> </w:t>
      </w:r>
      <w:r>
        <w:t xml:space="preserve">approximately 35,000 bytes.</w:t>
      </w:r>
    </w:p>
    <w:bookmarkEnd w:id="60"/>
    <w:bookmarkStart w:id="61" w:name="prf-to-aes-key-protection-chain"/>
    <w:p>
      <w:pPr>
        <w:pStyle w:val="Heading2"/>
      </w:pPr>
      <w:r>
        <w:t xml:space="preserve">3.5 PRF-to-AES key protection chain</w:t>
      </w:r>
    </w:p>
    <w:p>
      <w:pPr>
        <w:pStyle w:val="FirstParagraph"/>
      </w:pPr>
      <w:r>
        <w:t xml:space="preserve">Symmetric keys used by the protocol for the encryption of</w:t>
      </w:r>
      <w:r>
        <w:t xml:space="preserve"> </w:t>
      </w:r>
      <w:r>
        <w:t xml:space="preserve">provisioning material and audit records are derived through a</w:t>
      </w:r>
      <w:r>
        <w:t xml:space="preserve"> </w:t>
      </w:r>
      <w:r>
        <w:t xml:space="preserve">pseudorandom function chain conformant with NIST SP 800-108</w:t>
      </w:r>
      <w:r>
        <w:t xml:space="preserve"> </w:t>
      </w:r>
      <w:r>
        <w:t xml:space="preserve">(Recommendation for Key Derivation Using Pseudorandom Functions) and</w:t>
      </w:r>
      <w:r>
        <w:t xml:space="preserve"> </w:t>
      </w:r>
      <w:r>
        <w:t xml:space="preserve">applied through AES-256 in Galois/Counter Mode (AES-256-GCM).</w:t>
      </w:r>
    </w:p>
    <w:p>
      <w:pPr>
        <w:pStyle w:val="BodyText"/>
      </w:pPr>
      <w:r>
        <w:t xml:space="preserve">The chain is structured as follows. The output of the ML-KEM-768</w:t>
      </w:r>
      <w:r>
        <w:t xml:space="preserve"> </w:t>
      </w:r>
      <w:r>
        <w:t xml:space="preserve">decapsulation is passed through HKDF-SHA-512, with an explicit context</w:t>
      </w:r>
      <w:r>
        <w:t xml:space="preserve"> </w:t>
      </w:r>
      <w:r>
        <w:t xml:space="preserve">binding identifying the protocol context (CTID provisioning, audit</w:t>
      </w:r>
      <w:r>
        <w:t xml:space="preserve"> </w:t>
      </w:r>
      <w:r>
        <w:t xml:space="preserve">record encryption, or session key derivation), an explicit version</w:t>
      </w:r>
      <w:r>
        <w:t xml:space="preserve"> </w:t>
      </w:r>
      <w:r>
        <w:t xml:space="preserve">identifier of the protocol, and a salt derived from the message</w:t>
      </w:r>
      <w:r>
        <w:t xml:space="preserve"> </w:t>
      </w:r>
      <w:r>
        <w:t xml:space="preserve">identifier. The output of HKDF-SHA-512 is used as the input keying</w:t>
      </w:r>
      <w:r>
        <w:t xml:space="preserve"> </w:t>
      </w:r>
      <w:r>
        <w:t xml:space="preserve">material for AES-256-GCM.</w:t>
      </w:r>
    </w:p>
    <w:p>
      <w:pPr>
        <w:pStyle w:val="BodyText"/>
      </w:pPr>
      <w:r>
        <w:t xml:space="preserve">The PRF-to-AES chain serves three purposes. First, the chain isolates</w:t>
      </w:r>
      <w:r>
        <w:t xml:space="preserve"> </w:t>
      </w:r>
      <w:r>
        <w:t xml:space="preserve">the symmetric key derived for one context (CTID provisioning) from the</w:t>
      </w:r>
      <w:r>
        <w:t xml:space="preserve"> </w:t>
      </w:r>
      <w:r>
        <w:t xml:space="preserve">symmetric key derived for another context (audit record encryption) even</w:t>
      </w:r>
      <w:r>
        <w:t xml:space="preserve"> </w:t>
      </w:r>
      <w:r>
        <w:t xml:space="preserve">where the underlying ML-KEM-768 shared secret is the same. Second, the</w:t>
      </w:r>
      <w:r>
        <w:t xml:space="preserve"> </w:t>
      </w:r>
      <w:r>
        <w:t xml:space="preserve">chain provides an explicit binding to the protocol version, supporting</w:t>
      </w:r>
      <w:r>
        <w:t xml:space="preserve"> </w:t>
      </w:r>
      <w:r>
        <w:t xml:space="preserve">forward-secure operation across protocol version changes. Third, the</w:t>
      </w:r>
      <w:r>
        <w:t xml:space="preserve"> </w:t>
      </w:r>
      <w:r>
        <w:t xml:space="preserve">chain provides nonce-misuse resistance through the salt derivation</w:t>
      </w:r>
      <w:r>
        <w:t xml:space="preserve"> </w:t>
      </w:r>
      <w:r>
        <w:t xml:space="preserve">pattern.</w:t>
      </w:r>
    </w:p>
    <w:bookmarkEnd w:id="61"/>
    <w:bookmarkStart w:id="62" w:name="three-hash-content-addressing"/>
    <w:p>
      <w:pPr>
        <w:pStyle w:val="Heading2"/>
      </w:pPr>
      <w:r>
        <w:t xml:space="preserve">3.6 Three-hash content addressing</w:t>
      </w:r>
    </w:p>
    <w:p>
      <w:pPr>
        <w:pStyle w:val="FirstParagraph"/>
      </w:pPr>
      <w:r>
        <w:t xml:space="preserve">A content unit signed under the Trust Identity Protocol is addressed</w:t>
      </w:r>
      <w:r>
        <w:t xml:space="preserve"> </w:t>
      </w:r>
      <w:r>
        <w:t xml:space="preserve">by a triple of hash values computed under three distinct hash functions.</w:t>
      </w:r>
      <w:r>
        <w:t xml:space="preserve"> </w:t>
      </w:r>
      <w:r>
        <w:t xml:space="preserve">The triple, taken together, constitutes the content identifier</w:t>
      </w:r>
      <w:r>
        <w:t xml:space="preserve"> </w:t>
      </w:r>
      <w:r>
        <w:t xml:space="preserve">referenced by the TIP-CONTENT record.</w:t>
      </w:r>
    </w:p>
    <w:p>
      <w:pPr>
        <w:pStyle w:val="BodyText"/>
      </w:pPr>
      <w:r>
        <w:t xml:space="preserve">The three hash functions are:</w:t>
      </w:r>
    </w:p>
    <w:p>
      <w:pPr>
        <w:pStyle w:val="BodyText"/>
      </w:pPr>
      <w:r>
        <w:rPr>
          <w:b/>
          <w:bCs/>
        </w:rPr>
        <w:t xml:space="preserve">SHA2-256.</w:t>
      </w:r>
      <w:r>
        <w:t xml:space="preserve"> </w:t>
      </w:r>
      <w:r>
        <w:t xml:space="preserve">The first member of the triple is the</w:t>
      </w:r>
      <w:r>
        <w:t xml:space="preserve"> </w:t>
      </w:r>
      <w:r>
        <w:t xml:space="preserve">SHA2-256 hash of the canonical normalization output described in Part V.</w:t>
      </w:r>
      <w:r>
        <w:t xml:space="preserve"> </w:t>
      </w:r>
      <w:r>
        <w:t xml:space="preserve">SHA2-256 is selected for breadth of platform support and is the</w:t>
      </w:r>
      <w:r>
        <w:t xml:space="preserve"> </w:t>
      </w:r>
      <w:r>
        <w:t xml:space="preserve">principal identifier in most operational paths.</w:t>
      </w:r>
    </w:p>
    <w:p>
      <w:pPr>
        <w:pStyle w:val="BodyText"/>
      </w:pPr>
      <w:r>
        <w:rPr>
          <w:b/>
          <w:bCs/>
        </w:rPr>
        <w:t xml:space="preserve">SHA3-256.</w:t>
      </w:r>
      <w:r>
        <w:t xml:space="preserve"> </w:t>
      </w:r>
      <w:r>
        <w:t xml:space="preserve">The second member of the triple is the</w:t>
      </w:r>
      <w:r>
        <w:t xml:space="preserve"> </w:t>
      </w:r>
      <w:r>
        <w:t xml:space="preserve">SHA3-256 hash of the canonical normalization output. SHA3-256 is based</w:t>
      </w:r>
      <w:r>
        <w:t xml:space="preserve"> </w:t>
      </w:r>
      <w:r>
        <w:t xml:space="preserve">on the Keccak sponge construction and provides cryptanalytic diversity</w:t>
      </w:r>
      <w:r>
        <w:t xml:space="preserve"> </w:t>
      </w:r>
      <w:r>
        <w:t xml:space="preserve">against developments that may reduce the security of SHA2-256 without</w:t>
      </w:r>
      <w:r>
        <w:t xml:space="preserve"> </w:t>
      </w:r>
      <w:r>
        <w:t xml:space="preserve">affecting SHA3-256.</w:t>
      </w:r>
    </w:p>
    <w:p>
      <w:pPr>
        <w:pStyle w:val="BodyText"/>
      </w:pPr>
      <w:r>
        <w:rPr>
          <w:b/>
          <w:bCs/>
        </w:rPr>
        <w:t xml:space="preserve">BLAKE3.</w:t>
      </w:r>
      <w:r>
        <w:t xml:space="preserve"> </w:t>
      </w:r>
      <w:r>
        <w:t xml:space="preserve">The third member of the triple is the BLAKE3</w:t>
      </w:r>
      <w:r>
        <w:t xml:space="preserve"> </w:t>
      </w:r>
      <w:r>
        <w:t xml:space="preserve">hash of the canonical normalization output, computed at the default</w:t>
      </w:r>
      <w:r>
        <w:t xml:space="preserve"> </w:t>
      </w:r>
      <w:r>
        <w:t xml:space="preserve">output length of 256 bits. BLAKE3 is selected for performance and is the</w:t>
      </w:r>
      <w:r>
        <w:t xml:space="preserve"> </w:t>
      </w:r>
      <w:r>
        <w:t xml:space="preserve">principal hash used for high-throughput operational paths including the</w:t>
      </w:r>
      <w:r>
        <w:t xml:space="preserve"> </w:t>
      </w:r>
      <w:r>
        <w:t xml:space="preserve">verification of bulk-imported archives.</w:t>
      </w:r>
    </w:p>
    <w:p>
      <w:pPr>
        <w:pStyle w:val="BodyText"/>
      </w:pPr>
      <w:r>
        <w:t xml:space="preserve">The three-hash addressing serves three purposes. First, it provides</w:t>
      </w:r>
      <w:r>
        <w:t xml:space="preserve"> </w:t>
      </w:r>
      <w:r>
        <w:t xml:space="preserve">defense in depth against cryptanalytic developments against any single</w:t>
      </w:r>
      <w:r>
        <w:t xml:space="preserve"> </w:t>
      </w:r>
      <w:r>
        <w:t xml:space="preserve">hash function. A second-preimage attack on SHA2-256 that does not extend</w:t>
      </w:r>
      <w:r>
        <w:t xml:space="preserve"> </w:t>
      </w:r>
      <w:r>
        <w:t xml:space="preserve">to SHA3-256 or to BLAKE3 does not enable an adversary to substitute a</w:t>
      </w:r>
      <w:r>
        <w:t xml:space="preserve"> </w:t>
      </w:r>
      <w:r>
        <w:t xml:space="preserve">content unit under the same content identifier. Second, it provides</w:t>
      </w:r>
      <w:r>
        <w:t xml:space="preserve"> </w:t>
      </w:r>
      <w:r>
        <w:t xml:space="preserve">interoperability with the published address spaces of other systems</w:t>
      </w:r>
      <w:r>
        <w:t xml:space="preserve"> </w:t>
      </w:r>
      <w:r>
        <w:t xml:space="preserve">(SHA2-256 is the address used by IPFS and by most existing distributed</w:t>
      </w:r>
      <w:r>
        <w:t xml:space="preserve"> </w:t>
      </w:r>
      <w:r>
        <w:t xml:space="preserve">object stores; SHA3-256 is the address used by certain</w:t>
      </w:r>
      <w:r>
        <w:t xml:space="preserve"> </w:t>
      </w:r>
      <w:r>
        <w:t xml:space="preserve">Ethereum-derivative systems; BLAKE3 is the address used by emerging</w:t>
      </w:r>
      <w:r>
        <w:t xml:space="preserve"> </w:t>
      </w:r>
      <w:r>
        <w:t xml:space="preserve">high-throughput content stores). Third, it provides a robust input to</w:t>
      </w:r>
      <w:r>
        <w:t xml:space="preserve"> </w:t>
      </w:r>
      <w:r>
        <w:t xml:space="preserve">the canonical content identifier used in CNA-2.2 normalization.</w:t>
      </w:r>
    </w:p>
    <w:bookmarkEnd w:id="62"/>
    <w:bookmarkStart w:id="66" w:name="threat-model-and-formal-security-claims"/>
    <w:p>
      <w:pPr>
        <w:pStyle w:val="Heading2"/>
      </w:pPr>
      <w:r>
        <w:t xml:space="preserve">3.7 Threat model and formal security claims</w:t>
      </w:r>
    </w:p>
    <w:p>
      <w:pPr>
        <w:pStyle w:val="FirstParagraph"/>
      </w:pPr>
      <w:r>
        <w:t xml:space="preserve">The Trust Identity Protocol is designed against the threat model</w:t>
      </w:r>
      <w:r>
        <w:t xml:space="preserve"> </w:t>
      </w:r>
      <w:r>
        <w:t xml:space="preserve">below. The model identifies the adversaries against which the protocol’s</w:t>
      </w:r>
      <w:r>
        <w:t xml:space="preserve"> </w:t>
      </w:r>
      <w:r>
        <w:t xml:space="preserve">cryptographic guarantees are designed to hold and the adversaries</w:t>
      </w:r>
      <w:r>
        <w:t xml:space="preserve"> </w:t>
      </w:r>
      <w:r>
        <w:t xml:space="preserve">against which the protocol’s guarantees are conditional on assumptions</w:t>
      </w:r>
      <w:r>
        <w:t xml:space="preserve"> </w:t>
      </w:r>
      <w:r>
        <w:t xml:space="preserve">documented herein.</w:t>
      </w:r>
    </w:p>
    <w:bookmarkStart w:id="63" w:name="adversaries-the-protocol-contains"/>
    <w:p>
      <w:pPr>
        <w:pStyle w:val="Heading3"/>
      </w:pPr>
      <w:r>
        <w:t xml:space="preserve">3.7.1 Adversaries the protocol contains</w:t>
      </w:r>
    </w:p>
    <w:p>
      <w:pPr>
        <w:pStyle w:val="FirstParagraph"/>
      </w:pPr>
      <w:r>
        <w:rPr>
          <w:b/>
          <w:bCs/>
        </w:rPr>
        <w:t xml:space="preserve">A polynomially-bounded classical adversary.</w:t>
      </w:r>
      <w:r>
        <w:t xml:space="preserve"> </w:t>
      </w:r>
      <w:r>
        <w:t xml:space="preserve">An</w:t>
      </w:r>
      <w:r>
        <w:t xml:space="preserve"> </w:t>
      </w:r>
      <w:r>
        <w:t xml:space="preserve">adversary with classical computing resources cannot, under the protocol,</w:t>
      </w:r>
      <w:r>
        <w:t xml:space="preserve"> </w:t>
      </w:r>
      <w:r>
        <w:t xml:space="preserve">produce a signature that verifies under the public key of a CTID holder,</w:t>
      </w:r>
      <w:r>
        <w:t xml:space="preserve"> </w:t>
      </w:r>
      <w:r>
        <w:t xml:space="preserve">a Verification Provider, a Node Operator, or the AI Trust Council,</w:t>
      </w:r>
      <w:r>
        <w:t xml:space="preserve"> </w:t>
      </w:r>
      <w:r>
        <w:t xml:space="preserve">without possession of the corresponding private key. The claim rests on</w:t>
      </w:r>
      <w:r>
        <w:t xml:space="preserve"> </w:t>
      </w:r>
      <w:r>
        <w:t xml:space="preserve">the conjectured hardness of the Module Learning With Errors problem and</w:t>
      </w:r>
      <w:r>
        <w:t xml:space="preserve"> </w:t>
      </w:r>
      <w:r>
        <w:t xml:space="preserve">the Module Short Integer Solution problem underlying ML-DSA-65, and on</w:t>
      </w:r>
      <w:r>
        <w:t xml:space="preserve"> </w:t>
      </w:r>
      <w:r>
        <w:t xml:space="preserve">the conjectured pseudorandomness of SHA2-256, SHA3-256, BLAKE3, and</w:t>
      </w:r>
      <w:r>
        <w:t xml:space="preserve"> </w:t>
      </w:r>
      <w:r>
        <w:t xml:space="preserve">SHAKE-256.</w:t>
      </w:r>
    </w:p>
    <w:p>
      <w:pPr>
        <w:pStyle w:val="BodyText"/>
      </w:pPr>
      <w:r>
        <w:rPr>
          <w:b/>
          <w:bCs/>
        </w:rPr>
        <w:t xml:space="preserve">A quantum-bounded adversary against present</w:t>
      </w:r>
      <w:r>
        <w:rPr>
          <w:b/>
          <w:bCs/>
        </w:rPr>
        <w:t xml:space="preserve"> </w:t>
      </w:r>
      <w:r>
        <w:rPr>
          <w:b/>
          <w:bCs/>
        </w:rPr>
        <w:t xml:space="preserve">primitives.</w:t>
      </w:r>
      <w:r>
        <w:t xml:space="preserve"> </w:t>
      </w:r>
      <w:r>
        <w:t xml:space="preserve">An adversary with a fault-tolerant quantum computer</w:t>
      </w:r>
      <w:r>
        <w:t xml:space="preserve"> </w:t>
      </w:r>
      <w:r>
        <w:t xml:space="preserve">of the size and quality presently demonstrated cannot, under the</w:t>
      </w:r>
      <w:r>
        <w:t xml:space="preserve"> </w:t>
      </w:r>
      <w:r>
        <w:t xml:space="preserve">protocol, forge signatures or recover encapsulated session keys,</w:t>
      </w:r>
      <w:r>
        <w:t xml:space="preserve"> </w:t>
      </w:r>
      <w:r>
        <w:t xml:space="preserve">provided the adversary cannot solve the Module Learning With Errors</w:t>
      </w:r>
      <w:r>
        <w:t xml:space="preserve"> </w:t>
      </w:r>
      <w:r>
        <w:t xml:space="preserve">problem or the Module Short Integer Solution problem at the parameter</w:t>
      </w:r>
      <w:r>
        <w:t xml:space="preserve"> </w:t>
      </w:r>
      <w:r>
        <w:t xml:space="preserve">set sizes used. ML-KEM-768 and ML-DSA-65 are believed to remain secure</w:t>
      </w:r>
      <w:r>
        <w:t xml:space="preserve"> </w:t>
      </w:r>
      <w:r>
        <w:t xml:space="preserve">against such an adversary.</w:t>
      </w:r>
    </w:p>
    <w:p>
      <w:pPr>
        <w:pStyle w:val="BodyText"/>
      </w:pPr>
      <w:r>
        <w:rPr>
          <w:b/>
          <w:bCs/>
        </w:rPr>
        <w:t xml:space="preserve">A federation-level adversary controlling a minority of Node</w:t>
      </w:r>
      <w:r>
        <w:rPr>
          <w:b/>
          <w:bCs/>
        </w:rPr>
        <w:t xml:space="preserve"> </w:t>
      </w:r>
      <w:r>
        <w:rPr>
          <w:b/>
          <w:bCs/>
        </w:rPr>
        <w:t xml:space="preserve">Operators.</w:t>
      </w:r>
      <w:r>
        <w:t xml:space="preserve"> </w:t>
      </w:r>
      <w:r>
        <w:t xml:space="preserve">An adversary controlling fewer than the consensus</w:t>
      </w:r>
      <w:r>
        <w:t xml:space="preserve"> </w:t>
      </w:r>
      <w:r>
        <w:t xml:space="preserve">threshold of Node Operators cannot, under the protocol, cause an invalid</w:t>
      </w:r>
      <w:r>
        <w:t xml:space="preserve"> </w:t>
      </w:r>
      <w:r>
        <w:t xml:space="preserve">TIP-CONTENT record to be accepted by the federation. The consistency</w:t>
      </w:r>
      <w:r>
        <w:t xml:space="preserve"> </w:t>
      </w:r>
      <w:r>
        <w:t xml:space="preserve">property of the federated DAG is preserved through the signature,</w:t>
      </w:r>
      <w:r>
        <w:t xml:space="preserve"> </w:t>
      </w:r>
      <w:r>
        <w:t xml:space="preserve">timestamp, and reference structure of DAG entries.</w:t>
      </w:r>
    </w:p>
    <w:p>
      <w:pPr>
        <w:pStyle w:val="BodyText"/>
      </w:pPr>
      <w:r>
        <w:rPr>
          <w:b/>
          <w:bCs/>
        </w:rPr>
        <w:t xml:space="preserve">A Verification Provider operating in a single</w:t>
      </w:r>
      <w:r>
        <w:rPr>
          <w:b/>
          <w:bCs/>
        </w:rPr>
        <w:t xml:space="preserve"> </w:t>
      </w:r>
      <w:r>
        <w:rPr>
          <w:b/>
          <w:bCs/>
        </w:rPr>
        <w:t xml:space="preserve">jurisdiction.</w:t>
      </w:r>
      <w:r>
        <w:t xml:space="preserve"> </w:t>
      </w:r>
      <w:r>
        <w:t xml:space="preserve">An adversary obtaining the cooperation or the</w:t>
      </w:r>
      <w:r>
        <w:t xml:space="preserve"> </w:t>
      </w:r>
      <w:r>
        <w:t xml:space="preserve">compelled service of a single Verification Provider may obtain the</w:t>
      </w:r>
      <w:r>
        <w:t xml:space="preserve"> </w:t>
      </w:r>
      <w:r>
        <w:t xml:space="preserve">mapping between particular CTIDs and the real-world identities of their</w:t>
      </w:r>
      <w:r>
        <w:t xml:space="preserve"> </w:t>
      </w:r>
      <w:r>
        <w:t xml:space="preserve">holders, but cannot, under the protocol, suspend the operation of the</w:t>
      </w:r>
      <w:r>
        <w:t xml:space="preserve"> </w:t>
      </w:r>
      <w:r>
        <w:t xml:space="preserve">federation outside the cooperating Verification Provider’s jurisdiction,</w:t>
      </w:r>
      <w:r>
        <w:t xml:space="preserve"> </w:t>
      </w:r>
      <w:r>
        <w:t xml:space="preserve">cannot revoke CTIDs issued by other Verification Providers, and cannot</w:t>
      </w:r>
      <w:r>
        <w:t xml:space="preserve"> </w:t>
      </w:r>
      <w:r>
        <w:t xml:space="preserve">manipulate Trust Scores beyond the deterministic effect on Trust Scores</w:t>
      </w:r>
      <w:r>
        <w:t xml:space="preserve"> </w:t>
      </w:r>
      <w:r>
        <w:t xml:space="preserve">of the cooperating provider’s accreditation status. The warrant canary</w:t>
      </w:r>
      <w:r>
        <w:t xml:space="preserve"> </w:t>
      </w:r>
      <w:r>
        <w:t xml:space="preserve">and the audit obligation supply notice of such cooperation to the extent</w:t>
      </w:r>
      <w:r>
        <w:t xml:space="preserve"> </w:t>
      </w:r>
      <w:r>
        <w:t xml:space="preserve">permitted by the cooperating jurisdiction’s law.</w:t>
      </w:r>
    </w:p>
    <w:bookmarkEnd w:id="63"/>
    <w:bookmarkStart w:id="64" w:name="X848ae8fa6ba92a05983f9a3e504da0219cb20db"/>
    <w:p>
      <w:pPr>
        <w:pStyle w:val="Heading3"/>
      </w:pPr>
      <w:r>
        <w:t xml:space="preserve">3.7.2 Adversaries the protocol does not contain</w:t>
      </w:r>
    </w:p>
    <w:p>
      <w:pPr>
        <w:pStyle w:val="FirstParagraph"/>
      </w:pPr>
      <w:r>
        <w:rPr>
          <w:b/>
          <w:bCs/>
        </w:rPr>
        <w:t xml:space="preserve">An adversary controlling the holder’s device.</w:t>
      </w:r>
      <w:r>
        <w:t xml:space="preserve"> </w:t>
      </w:r>
      <w:r>
        <w:t xml:space="preserve">An</w:t>
      </w:r>
      <w:r>
        <w:t xml:space="preserve"> </w:t>
      </w:r>
      <w:r>
        <w:t xml:space="preserve">adversary that has compromised the WebAuthn resident key authenticator</w:t>
      </w:r>
      <w:r>
        <w:t xml:space="preserve"> </w:t>
      </w:r>
      <w:r>
        <w:t xml:space="preserve">on the holder’s device may, for the duration of the compromise, produce</w:t>
      </w:r>
      <w:r>
        <w:t xml:space="preserve"> </w:t>
      </w:r>
      <w:r>
        <w:t xml:space="preserve">signatures under the holder’s CTID indistinguishable from signatures</w:t>
      </w:r>
      <w:r>
        <w:t xml:space="preserve"> </w:t>
      </w:r>
      <w:r>
        <w:t xml:space="preserve">produced by the holder. The protocol mitigates this exposure through the</w:t>
      </w:r>
      <w:r>
        <w:t xml:space="preserve"> </w:t>
      </w:r>
      <w:r>
        <w:t xml:space="preserve">revocation mechanism described in Part IV and through the Trust Score</w:t>
      </w:r>
      <w:r>
        <w:t xml:space="preserve"> </w:t>
      </w:r>
      <w:r>
        <w:t xml:space="preserve">updates described in Part VI, but does not eliminate it.</w:t>
      </w:r>
    </w:p>
    <w:p>
      <w:pPr>
        <w:pStyle w:val="BodyText"/>
      </w:pPr>
      <w:r>
        <w:rPr>
          <w:b/>
          <w:bCs/>
        </w:rPr>
        <w:t xml:space="preserve">An adversary obtaining a future cryptanalytic</w:t>
      </w:r>
      <w:r>
        <w:rPr>
          <w:b/>
          <w:bCs/>
        </w:rPr>
        <w:t xml:space="preserve"> </w:t>
      </w:r>
      <w:r>
        <w:rPr>
          <w:b/>
          <w:bCs/>
        </w:rPr>
        <w:t xml:space="preserve">advance.</w:t>
      </w:r>
      <w:r>
        <w:t xml:space="preserve"> </w:t>
      </w:r>
      <w:r>
        <w:t xml:space="preserve">A cryptanalytic advance materially reducing the</w:t>
      </w:r>
      <w:r>
        <w:t xml:space="preserve"> </w:t>
      </w:r>
      <w:r>
        <w:t xml:space="preserve">security of the Module Learning With Errors problem, the Module Short</w:t>
      </w:r>
      <w:r>
        <w:t xml:space="preserve"> </w:t>
      </w:r>
      <w:r>
        <w:t xml:space="preserve">Integer Solution problem, or the underlying hash functions may reduce</w:t>
      </w:r>
      <w:r>
        <w:t xml:space="preserve"> </w:t>
      </w:r>
      <w:r>
        <w:t xml:space="preserve">the security of the protocol. The protocol’s response to such an advance</w:t>
      </w:r>
      <w:r>
        <w:t xml:space="preserve"> </w:t>
      </w:r>
      <w:r>
        <w:t xml:space="preserve">is the migration path described in Section 3.7.3.</w:t>
      </w:r>
    </w:p>
    <w:p>
      <w:pPr>
        <w:pStyle w:val="BodyText"/>
      </w:pPr>
      <w:r>
        <w:rPr>
          <w:b/>
          <w:bCs/>
        </w:rPr>
        <w:t xml:space="preserve">A regulatory adversary acting on the entire</w:t>
      </w:r>
      <w:r>
        <w:rPr>
          <w:b/>
          <w:bCs/>
        </w:rPr>
        <w:t xml:space="preserve"> </w:t>
      </w:r>
      <w:r>
        <w:rPr>
          <w:b/>
          <w:bCs/>
        </w:rPr>
        <w:t xml:space="preserve">federation.</w:t>
      </w:r>
      <w:r>
        <w:t xml:space="preserve"> </w:t>
      </w:r>
      <w:r>
        <w:t xml:space="preserve">A coordinated regulatory action across all</w:t>
      </w:r>
      <w:r>
        <w:t xml:space="preserve"> </w:t>
      </w:r>
      <w:r>
        <w:t xml:space="preserve">jurisdictions in which Verification Providers and Node Operators operate</w:t>
      </w:r>
      <w:r>
        <w:t xml:space="preserve"> </w:t>
      </w:r>
      <w:r>
        <w:t xml:space="preserve">may suspend the protocol’s operation. The protocol’s response to such an</w:t>
      </w:r>
      <w:r>
        <w:t xml:space="preserve"> </w:t>
      </w:r>
      <w:r>
        <w:t xml:space="preserve">action is institutional (the AI Trust Council Charter, the published</w:t>
      </w:r>
      <w:r>
        <w:t xml:space="preserve"> </w:t>
      </w:r>
      <w:r>
        <w:t xml:space="preserve">jurisdiction declarations, the standards organization engagement) rather</w:t>
      </w:r>
      <w:r>
        <w:t xml:space="preserve"> </w:t>
      </w:r>
      <w:r>
        <w:t xml:space="preserve">than cryptographic.</w:t>
      </w:r>
    </w:p>
    <w:bookmarkEnd w:id="64"/>
    <w:bookmarkStart w:id="65" w:name="cryptographic-migration-path"/>
    <w:p>
      <w:pPr>
        <w:pStyle w:val="Heading3"/>
      </w:pPr>
      <w:r>
        <w:t xml:space="preserve">3.7.3 Cryptographic migration path</w:t>
      </w:r>
    </w:p>
    <w:p>
      <w:pPr>
        <w:pStyle w:val="FirstParagraph"/>
      </w:pPr>
      <w:r>
        <w:t xml:space="preserve">The protocol contains a defined migration path against the</w:t>
      </w:r>
      <w:r>
        <w:t xml:space="preserve"> </w:t>
      </w:r>
      <w:r>
        <w:t xml:space="preserve">possibility of a cryptographic compromise of the primitives selected in</w:t>
      </w:r>
      <w:r>
        <w:t xml:space="preserve"> </w:t>
      </w:r>
      <w:r>
        <w:t xml:space="preserve">this Part. The migration path comprises four stages.</w:t>
      </w:r>
    </w:p>
    <w:p>
      <w:pPr>
        <w:pStyle w:val="BodyText"/>
      </w:pPr>
      <w:r>
        <w:rPr>
          <w:b/>
          <w:bCs/>
        </w:rPr>
        <w:t xml:space="preserve">Stage 1: monitoring.</w:t>
      </w:r>
      <w:r>
        <w:t xml:space="preserve"> </w:t>
      </w:r>
      <w:r>
        <w:t xml:space="preserve">The AI Trust Council maintains</w:t>
      </w:r>
      <w:r>
        <w:t xml:space="preserve"> </w:t>
      </w:r>
      <w:r>
        <w:t xml:space="preserve">a continuous review of the public cryptanalytic literature applicable to</w:t>
      </w:r>
      <w:r>
        <w:t xml:space="preserve"> </w:t>
      </w:r>
      <w:r>
        <w:t xml:space="preserve">the primitives identified in this Part. The Council publishes an annual</w:t>
      </w:r>
      <w:r>
        <w:t xml:space="preserve"> </w:t>
      </w:r>
      <w:r>
        <w:t xml:space="preserve">cryptographic posture report.</w:t>
      </w:r>
    </w:p>
    <w:p>
      <w:pPr>
        <w:pStyle w:val="BodyText"/>
      </w:pPr>
      <w:r>
        <w:rPr>
          <w:b/>
          <w:bCs/>
        </w:rPr>
        <w:t xml:space="preserve">Stage 2: advisory.</w:t>
      </w:r>
      <w:r>
        <w:t xml:space="preserve"> </w:t>
      </w:r>
      <w:r>
        <w:t xml:space="preserve">On identification of a material</w:t>
      </w:r>
      <w:r>
        <w:t xml:space="preserve"> </w:t>
      </w:r>
      <w:r>
        <w:t xml:space="preserve">reduction in the security of any primitive, the Council issues an</w:t>
      </w:r>
      <w:r>
        <w:t xml:space="preserve"> </w:t>
      </w:r>
      <w:r>
        <w:t xml:space="preserve">advisory identifying the affected primitive and recommending operational</w:t>
      </w:r>
      <w:r>
        <w:t xml:space="preserve"> </w:t>
      </w:r>
      <w:r>
        <w:t xml:space="preserve">measures.</w:t>
      </w:r>
    </w:p>
    <w:p>
      <w:pPr>
        <w:pStyle w:val="BodyText"/>
      </w:pPr>
      <w:r>
        <w:rPr>
          <w:b/>
          <w:bCs/>
        </w:rPr>
        <w:t xml:space="preserve">Stage 3: supplementary signing.</w:t>
      </w:r>
      <w:r>
        <w:t xml:space="preserve"> </w:t>
      </w:r>
      <w:r>
        <w:t xml:space="preserve">On a determination</w:t>
      </w:r>
      <w:r>
        <w:t xml:space="preserve"> </w:t>
      </w:r>
      <w:r>
        <w:t xml:space="preserve">that a primitive’s security has fallen below a defined threshold, the</w:t>
      </w:r>
      <w:r>
        <w:t xml:space="preserve"> </w:t>
      </w:r>
      <w:r>
        <w:t xml:space="preserve">Council requires the dual signing of subsequent TIP-CONTENT records</w:t>
      </w:r>
      <w:r>
        <w:t xml:space="preserve"> </w:t>
      </w:r>
      <w:r>
        <w:t xml:space="preserve">under a successor primitive identified by the Council. The successor</w:t>
      </w:r>
      <w:r>
        <w:t xml:space="preserve"> </w:t>
      </w:r>
      <w:r>
        <w:t xml:space="preserve">primitive is selected from the NIST post-quantum suite, the IETF</w:t>
      </w:r>
      <w:r>
        <w:t xml:space="preserve"> </w:t>
      </w:r>
      <w:r>
        <w:t xml:space="preserve">post-quantum suite, or a standardized successor at the time of the</w:t>
      </w:r>
      <w:r>
        <w:t xml:space="preserve"> </w:t>
      </w:r>
      <w:r>
        <w:t xml:space="preserve">determination.</w:t>
      </w:r>
    </w:p>
    <w:p>
      <w:pPr>
        <w:pStyle w:val="BodyText"/>
      </w:pPr>
      <w:r>
        <w:rPr>
          <w:b/>
          <w:bCs/>
        </w:rPr>
        <w:t xml:space="preserve">Stage 4: re-signing of long-term archives.</w:t>
      </w:r>
      <w:r>
        <w:t xml:space="preserve"> </w:t>
      </w:r>
      <w:r>
        <w:t xml:space="preserve">Publishers and journalism organizations electing to maintain long-term</w:t>
      </w:r>
      <w:r>
        <w:t xml:space="preserve"> </w:t>
      </w:r>
      <w:r>
        <w:t xml:space="preserve">archives may opt into a re-signing service operated by the Council,</w:t>
      </w:r>
      <w:r>
        <w:t xml:space="preserve"> </w:t>
      </w:r>
      <w:r>
        <w:t xml:space="preserve">under which existing TIP-CONTENT records are dual-signed under the</w:t>
      </w:r>
      <w:r>
        <w:t xml:space="preserve"> </w:t>
      </w:r>
      <w:r>
        <w:t xml:space="preserve">successor primitive and the dual signatures are published to the</w:t>
      </w:r>
      <w:r>
        <w:t xml:space="preserve"> </w:t>
      </w:r>
      <w:r>
        <w:t xml:space="preserve">federated DAG.</w:t>
      </w:r>
    </w:p>
    <w:p>
      <w:pPr>
        <w:pStyle w:val="BodyText"/>
      </w:pPr>
      <w:r>
        <w:t xml:space="preserve">The migration path is structured so that the protocol can respond to</w:t>
      </w:r>
      <w:r>
        <w:t xml:space="preserve"> </w:t>
      </w:r>
      <w:r>
        <w:t xml:space="preserve">a cryptanalytic event without disruption of the federated network and</w:t>
      </w:r>
      <w:r>
        <w:t xml:space="preserve"> </w:t>
      </w:r>
      <w:r>
        <w:t xml:space="preserve">without invalidation of the historical record.</w:t>
      </w:r>
    </w:p>
    <w:bookmarkEnd w:id="65"/>
    <w:bookmarkEnd w:id="66"/>
    <w:bookmarkStart w:id="67" w:name="conformance-testing"/>
    <w:p>
      <w:pPr>
        <w:pStyle w:val="Heading2"/>
      </w:pPr>
      <w:r>
        <w:t xml:space="preserve">3.8 Conformance testing</w:t>
      </w:r>
    </w:p>
    <w:p>
      <w:pPr>
        <w:pStyle w:val="FirstParagraph"/>
      </w:pPr>
      <w:r>
        <w:t xml:space="preserve">The canonical TIP Protocol Specification publishes test vectors for</w:t>
      </w:r>
      <w:r>
        <w:t xml:space="preserve"> </w:t>
      </w:r>
      <w:r>
        <w:t xml:space="preserve">ML-KEM-768, ML-DSA-65, SLH-DSA-SHA2-192s, HKDF-SHA-512, AES-256-GCM,</w:t>
      </w:r>
      <w:r>
        <w:t xml:space="preserve"> </w:t>
      </w:r>
      <w:r>
        <w:t xml:space="preserve">SHA2-256, SHA3-256, and BLAKE3. The test vectors are conformance test</w:t>
      </w:r>
      <w:r>
        <w:t xml:space="preserve"> </w:t>
      </w:r>
      <w:r>
        <w:t xml:space="preserve">vectors derived from the published test vectors of NIST, NIST CAVP, the</w:t>
      </w:r>
      <w:r>
        <w:t xml:space="preserve"> </w:t>
      </w:r>
      <w:r>
        <w:t xml:space="preserve">IETF, and the BLAKE3 reference implementation. A conformant</w:t>
      </w:r>
      <w:r>
        <w:t xml:space="preserve"> </w:t>
      </w:r>
      <w:r>
        <w:t xml:space="preserve">implementation of the protocol is required to pass the published test</w:t>
      </w:r>
      <w:r>
        <w:t xml:space="preserve"> </w:t>
      </w:r>
      <w:r>
        <w:t xml:space="preserve">vectors.</w:t>
      </w:r>
    </w:p>
    <w:p>
      <w:pPr>
        <w:pStyle w:val="BodyText"/>
      </w:pPr>
      <w:r>
        <w:t xml:space="preserve">The AI Trust Council maintains a Conformance Registry identifying</w:t>
      </w:r>
      <w:r>
        <w:t xml:space="preserve"> </w:t>
      </w:r>
      <w:r>
        <w:t xml:space="preserve">implementations that have passed the test vectors and have submitted to</w:t>
      </w:r>
      <w:r>
        <w:t xml:space="preserve"> </w:t>
      </w:r>
      <w:r>
        <w:t xml:space="preserve">the conformance review process. Inclusion in the Conformance Registry is</w:t>
      </w:r>
      <w:r>
        <w:t xml:space="preserve"> </w:t>
      </w:r>
      <w:r>
        <w:t xml:space="preserve">voluntary and is not a condition of TIPCL-1.0 licensing. Inclusion</w:t>
      </w:r>
      <w:r>
        <w:t xml:space="preserve"> </w:t>
      </w:r>
      <w:r>
        <w:t xml:space="preserve">supplies a public attestation of conformance suitable for reliance by</w:t>
      </w:r>
      <w:r>
        <w:t xml:space="preserve"> </w:t>
      </w:r>
      <w:r>
        <w:t xml:space="preserve">regulators, auditors, and counterparties.</w:t>
      </w:r>
    </w:p>
    <w:p>
      <w:r>
        <w:pict>
          <v:rect style="width:0;height:1.5pt" o:hralign="center" o:hrstd="t" o:hr="t"/>
        </w:pict>
      </w:r>
    </w:p>
    <w:p>
      <w:pPr>
        <w:pStyle w:val="FirstParagraph"/>
      </w:pPr>
      <w:r>
        <w:rPr>
          <w:b/>
          <w:bCs/>
        </w:rPr>
        <w:t xml:space="preserve">Contact The AI Lab regarding Part III</w:t>
      </w:r>
    </w:p>
    <w:p>
      <w:pPr>
        <w:pStyle w:val="BodyText"/>
      </w:pPr>
      <w:r>
        <w:t xml:space="preserve">Technical Inquiries:</w:t>
      </w:r>
      <w:r>
        <w:t xml:space="preserve"> </w:t>
      </w:r>
      <w:r>
        <w:rPr>
          <w:rStyle w:val="VerbatimChar"/>
        </w:rPr>
        <w:t xml:space="preserve">tip@theailab.org</w:t>
      </w:r>
      <w:r>
        <w:t xml:space="preserve"> </w:t>
      </w:r>
      <w:r>
        <w:t xml:space="preserve">Conformance</w:t>
      </w:r>
      <w:r>
        <w:t xml:space="preserve"> </w:t>
      </w:r>
      <w:r>
        <w:t xml:space="preserve">Inquiries:</w:t>
      </w:r>
      <w:r>
        <w:t xml:space="preserve"> </w:t>
      </w:r>
      <w:r>
        <w:rPr>
          <w:rStyle w:val="VerbatimChar"/>
        </w:rPr>
        <w:t xml:space="preserve">compliance@theailab.org</w:t>
      </w:r>
      <w:r>
        <w:t xml:space="preserve"> </w:t>
      </w:r>
      <w:r>
        <w:t xml:space="preserve">Standards Engagement:</w:t>
      </w:r>
      <w:r>
        <w:t xml:space="preserve"> </w:t>
      </w:r>
      <w:r>
        <w:rPr>
          <w:rStyle w:val="VerbatimChar"/>
        </w:rPr>
        <w:t xml:space="preserve">standards@theailab.org</w:t>
      </w:r>
    </w:p>
    <w:p>
      <w:pPr>
        <w:pStyle w:val="BodyText"/>
      </w:pPr>
      <w:r>
        <w:t xml:space="preserve">The AI Lab Intelligence Unobscured, Inc. Wilmington, Delaware, United</w:t>
      </w:r>
      <w:r>
        <w:t xml:space="preserve"> </w:t>
      </w:r>
      <w:r>
        <w:t xml:space="preserve">States.</w:t>
      </w:r>
    </w:p>
    <w:bookmarkEnd w:id="67"/>
    <w:bookmarkEnd w:id="68"/>
    <w:bookmarkStart w:id="97" w:name="part-iv-tip-id-identity-layer"/>
    <w:p>
      <w:pPr>
        <w:pStyle w:val="Heading1"/>
      </w:pPr>
      <w:r>
        <w:t xml:space="preserve">Part IV: TIP-ID: Identity Layer</w:t>
      </w:r>
    </w:p>
    <w:p>
      <w:pPr>
        <w:pStyle w:val="FirstParagraph"/>
      </w:pPr>
      <w:r>
        <w:t xml:space="preserve">This Part describes the identity layer of the Trust Identity</w:t>
      </w:r>
      <w:r>
        <w:t xml:space="preserve"> </w:t>
      </w:r>
      <w:r>
        <w:t xml:space="preserve">Protocol. The identity layer comprises the Cryptographic Trust Identity</w:t>
      </w:r>
      <w:r>
        <w:t xml:space="preserve"> </w:t>
      </w:r>
      <w:r>
        <w:t xml:space="preserve">(CTID), the institutional role of the Verification Provider, the</w:t>
      </w:r>
      <w:r>
        <w:t xml:space="preserve"> </w:t>
      </w:r>
      <w:r>
        <w:t xml:space="preserve">issuance and revocation lifecycle, the optional biometric binding</w:t>
      </w:r>
      <w:r>
        <w:t xml:space="preserve"> </w:t>
      </w:r>
      <w:r>
        <w:t xml:space="preserve">implemented through the WebAuthn resident key authenticator, the</w:t>
      </w:r>
      <w:r>
        <w:t xml:space="preserve"> </w:t>
      </w:r>
      <w:r>
        <w:t xml:space="preserve">portability of identities across jurisdictions, and the dispute and</w:t>
      </w:r>
      <w:r>
        <w:t xml:space="preserve"> </w:t>
      </w:r>
      <w:r>
        <w:t xml:space="preserve">governance mechanisms applicable to identity matters.</w:t>
      </w:r>
    </w:p>
    <w:bookmarkStart w:id="73" w:name="X73974303b19f2ec0cd48931b5e3a94c8c8dd992"/>
    <w:p>
      <w:pPr>
        <w:pStyle w:val="Heading2"/>
      </w:pPr>
      <w:r>
        <w:t xml:space="preserve">4.1 Cryptographic Trust Identity (CTID) construction</w:t>
      </w:r>
    </w:p>
    <w:p>
      <w:pPr>
        <w:pStyle w:val="FirstParagraph"/>
      </w:pPr>
      <w:r>
        <w:t xml:space="preserve">A CTID is a pseudonymous identifier derived from a public</w:t>
      </w:r>
      <w:r>
        <w:t xml:space="preserve"> </w:t>
      </w:r>
      <w:r>
        <w:t xml:space="preserve">cryptographic key and is the principal artifact of the identity</w:t>
      </w:r>
      <w:r>
        <w:t xml:space="preserve"> </w:t>
      </w:r>
      <w:r>
        <w:t xml:space="preserve">layer.</w:t>
      </w:r>
    </w:p>
    <w:bookmarkStart w:id="69" w:name="generation"/>
    <w:p>
      <w:pPr>
        <w:pStyle w:val="Heading3"/>
      </w:pPr>
      <w:r>
        <w:t xml:space="preserve">4.1.1 Generation</w:t>
      </w:r>
    </w:p>
    <w:p>
      <w:pPr>
        <w:pStyle w:val="FirstParagraph"/>
      </w:pPr>
      <w:r>
        <w:t xml:space="preserve">A prospective CTID holder, using software conformant with the</w:t>
      </w:r>
      <w:r>
        <w:t xml:space="preserve"> </w:t>
      </w:r>
      <w:r>
        <w:t xml:space="preserve">protocol, instructs a WebAuthn resident key authenticator on the</w:t>
      </w:r>
      <w:r>
        <w:t xml:space="preserve"> </w:t>
      </w:r>
      <w:r>
        <w:t xml:space="preserve">holder’s device to generate a key pair. The authenticator generates the</w:t>
      </w:r>
      <w:r>
        <w:t xml:space="preserve"> </w:t>
      </w:r>
      <w:r>
        <w:t xml:space="preserve">private key within its hardware security boundary, retains the private</w:t>
      </w:r>
      <w:r>
        <w:t xml:space="preserve"> </w:t>
      </w:r>
      <w:r>
        <w:t xml:space="preserve">key under the boundary, and exports the public key to the calling</w:t>
      </w:r>
      <w:r>
        <w:t xml:space="preserve"> </w:t>
      </w:r>
      <w:r>
        <w:t xml:space="preserve">software. The public key is then transmitted to a Verification Provider</w:t>
      </w:r>
      <w:r>
        <w:t xml:space="preserve"> </w:t>
      </w:r>
      <w:r>
        <w:t xml:space="preserve">as part of the issuance request.</w:t>
      </w:r>
    </w:p>
    <w:p>
      <w:pPr>
        <w:pStyle w:val="BodyText"/>
      </w:pPr>
      <w:r>
        <w:t xml:space="preserve">The protocol requires that the keypair be generated using ML-DSA-65</w:t>
      </w:r>
      <w:r>
        <w:t xml:space="preserve"> </w:t>
      </w:r>
      <w:r>
        <w:t xml:space="preserve">(FIPS 204) or, where the authenticator does not yet support post-quantum</w:t>
      </w:r>
      <w:r>
        <w:t xml:space="preserve"> </w:t>
      </w:r>
      <w:r>
        <w:t xml:space="preserve">primitives, a classical scheme (Ed25519 or ECDSA P-256) augmented by an</w:t>
      </w:r>
      <w:r>
        <w:t xml:space="preserve"> </w:t>
      </w:r>
      <w:r>
        <w:t xml:space="preserve">enveloping ML-DSA-65 signature produced by the Verification Provider.</w:t>
      </w:r>
      <w:r>
        <w:t xml:space="preserve"> </w:t>
      </w:r>
      <w:r>
        <w:t xml:space="preserve">The transition path from classical authenticator support to native</w:t>
      </w:r>
      <w:r>
        <w:t xml:space="preserve"> </w:t>
      </w:r>
      <w:r>
        <w:t xml:space="preserve">post-quantum authenticator support is described in Section 4.1.4.</w:t>
      </w:r>
    </w:p>
    <w:bookmarkEnd w:id="69"/>
    <w:bookmarkStart w:id="70" w:name="X9b888cadb2858d5248398ec748d2d1357c419df"/>
    <w:p>
      <w:pPr>
        <w:pStyle w:val="Heading3"/>
      </w:pPr>
      <w:r>
        <w:t xml:space="preserve">4.1.2 Derivation of the CTID from the public key</w:t>
      </w:r>
    </w:p>
    <w:p>
      <w:pPr>
        <w:pStyle w:val="FirstParagraph"/>
      </w:pPr>
      <w:r>
        <w:t xml:space="preserve">The CTID is computed deterministically from the public key as</w:t>
      </w:r>
      <w:r>
        <w:t xml:space="preserve"> </w:t>
      </w:r>
      <w:r>
        <w:t xml:space="preserve">follows:</w:t>
      </w:r>
    </w:p>
    <w:p>
      <w:pPr>
        <w:pStyle w:val="SourceCode"/>
      </w:pPr>
      <w:r>
        <w:rPr>
          <w:rStyle w:val="VerbatimChar"/>
        </w:rPr>
        <w:t xml:space="preserve">CTID = BLAKE3( "TIP-CTID-v1" || version || vp_id || pub_key ) [first 30 bytes]</w:t>
      </w:r>
      <w:r>
        <w:br/>
      </w:r>
      <w:r>
        <w:rPr>
          <w:rStyle w:val="VerbatimChar"/>
        </w:rPr>
        <w:t xml:space="preserve">       formatted as 5 groups of 6 base32 characters separated by hyphens</w:t>
      </w:r>
    </w:p>
    <w:p>
      <w:pPr>
        <w:pStyle w:val="FirstParagraph"/>
      </w:pPr>
      <w:r>
        <w:t xml:space="preserve">The components of the input are: the protocol context tag</w:t>
      </w:r>
      <w:r>
        <w:t xml:space="preserve"> </w:t>
      </w:r>
      <w:r>
        <w:t xml:space="preserve">“TIP-CTID-v1” preventing collision with hash outputs in other contexts;</w:t>
      </w:r>
      <w:r>
        <w:t xml:space="preserve"> </w:t>
      </w:r>
      <w:r>
        <w:t xml:space="preserve">the protocol version identifier; the Verification Provider’s identifier</w:t>
      </w:r>
      <w:r>
        <w:t xml:space="preserve"> </w:t>
      </w:r>
      <w:r>
        <w:t xml:space="preserve">in the Verification Provider Registry; and the public key of the</w:t>
      </w:r>
      <w:r>
        <w:t xml:space="preserve"> </w:t>
      </w:r>
      <w:r>
        <w:t xml:space="preserve">holder’s WebAuthn credential. The output is truncated to thirty bytes,</w:t>
      </w:r>
      <w:r>
        <w:t xml:space="preserve"> </w:t>
      </w:r>
      <w:r>
        <w:t xml:space="preserve">supplying 240 bits of preimage and collision resistance, which exceeds</w:t>
      </w:r>
      <w:r>
        <w:t xml:space="preserve"> </w:t>
      </w:r>
      <w:r>
        <w:t xml:space="preserve">the security strength of the underlying primitives. The truncated output</w:t>
      </w:r>
      <w:r>
        <w:t xml:space="preserve"> </w:t>
      </w:r>
      <w:r>
        <w:t xml:space="preserve">is formatted as five groups of six base32 characters separated by</w:t>
      </w:r>
      <w:r>
        <w:t xml:space="preserve"> </w:t>
      </w:r>
      <w:r>
        <w:t xml:space="preserve">hyphens, producing a representation suitable for human transcription,</w:t>
      </w:r>
      <w:r>
        <w:t xml:space="preserve"> </w:t>
      </w:r>
      <w:r>
        <w:t xml:space="preserve">copy-paste, and display on user-facing surfaces. An example CTID has the</w:t>
      </w:r>
      <w:r>
        <w:t xml:space="preserve"> </w:t>
      </w:r>
      <w:r>
        <w:t xml:space="preserve">form</w:t>
      </w:r>
      <w:r>
        <w:t xml:space="preserve"> </w:t>
      </w:r>
      <w:r>
        <w:rPr>
          <w:rStyle w:val="VerbatimChar"/>
        </w:rPr>
        <w:t xml:space="preserve">Q7ABCD-EFGHIJ-KLMNOP-QRSTUV-WXYZ23</w:t>
      </w:r>
      <w:r>
        <w:t xml:space="preserve">.</w:t>
      </w:r>
    </w:p>
    <w:bookmarkEnd w:id="70"/>
    <w:bookmarkStart w:id="71" w:name="properties-of-the-ctid"/>
    <w:p>
      <w:pPr>
        <w:pStyle w:val="Heading3"/>
      </w:pPr>
      <w:r>
        <w:t xml:space="preserve">4.1.3 Properties of the CTID</w:t>
      </w:r>
    </w:p>
    <w:p>
      <w:pPr>
        <w:pStyle w:val="FirstParagraph"/>
      </w:pPr>
      <w:r>
        <w:t xml:space="preserve">The CTID has the following properties.</w:t>
      </w:r>
    </w:p>
    <w:p>
      <w:pPr>
        <w:pStyle w:val="BodyText"/>
      </w:pPr>
      <w:r>
        <w:rPr>
          <w:b/>
          <w:bCs/>
        </w:rPr>
        <w:t xml:space="preserve">Pseudonymous.</w:t>
      </w:r>
      <w:r>
        <w:t xml:space="preserve"> </w:t>
      </w:r>
      <w:r>
        <w:t xml:space="preserve">The CTID is derived from the public</w:t>
      </w:r>
      <w:r>
        <w:t xml:space="preserve"> </w:t>
      </w:r>
      <w:r>
        <w:t xml:space="preserve">key alone, augmented by the Verification Provider identifier and the</w:t>
      </w:r>
      <w:r>
        <w:t xml:space="preserve"> </w:t>
      </w:r>
      <w:r>
        <w:t xml:space="preserve">protocol context. The CTID does not contain the holder’s name, the</w:t>
      </w:r>
      <w:r>
        <w:t xml:space="preserve"> </w:t>
      </w:r>
      <w:r>
        <w:t xml:space="preserve">holder’s email address, the holder’s date of birth, the holder’s place</w:t>
      </w:r>
      <w:r>
        <w:t xml:space="preserve"> </w:t>
      </w:r>
      <w:r>
        <w:t xml:space="preserve">of residence, or any other identifier directly linked to the holder’s</w:t>
      </w:r>
      <w:r>
        <w:t xml:space="preserve"> </w:t>
      </w:r>
      <w:r>
        <w:t xml:space="preserve">real-world identity. The mapping between the CTID and the holder’s</w:t>
      </w:r>
      <w:r>
        <w:t xml:space="preserve"> </w:t>
      </w:r>
      <w:r>
        <w:t xml:space="preserve">real-world identity is held by the Verification Provider and is</w:t>
      </w:r>
      <w:r>
        <w:t xml:space="preserve"> </w:t>
      </w:r>
      <w:r>
        <w:t xml:space="preserve">disclosed only through the legal process of the Verification Provider’s</w:t>
      </w:r>
      <w:r>
        <w:t xml:space="preserve"> </w:t>
      </w:r>
      <w:r>
        <w:t xml:space="preserve">jurisdiction.</w:t>
      </w:r>
    </w:p>
    <w:p>
      <w:pPr>
        <w:pStyle w:val="BodyText"/>
      </w:pPr>
      <w:r>
        <w:rPr>
          <w:b/>
          <w:bCs/>
        </w:rPr>
        <w:t xml:space="preserve">Stable across surfaces.</w:t>
      </w:r>
      <w:r>
        <w:t xml:space="preserve"> </w:t>
      </w:r>
      <w:r>
        <w:t xml:space="preserve">The CTID does not change</w:t>
      </w:r>
      <w:r>
        <w:t xml:space="preserve"> </w:t>
      </w:r>
      <w:r>
        <w:t xml:space="preserve">when the holder uses different platforms, surfaces, or devices to</w:t>
      </w:r>
      <w:r>
        <w:t xml:space="preserve"> </w:t>
      </w:r>
      <w:r>
        <w:t xml:space="preserve">operate the CTID. The CTID is the same identifier whether displayed</w:t>
      </w:r>
      <w:r>
        <w:t xml:space="preserve"> </w:t>
      </w:r>
      <w:r>
        <w:t xml:space="preserve">alongside a journalistic article, a social post, a published video, or a</w:t>
      </w:r>
      <w:r>
        <w:t xml:space="preserve"> </w:t>
      </w:r>
      <w:r>
        <w:t xml:space="preserve">commerce listing.</w:t>
      </w:r>
    </w:p>
    <w:p>
      <w:pPr>
        <w:pStyle w:val="BodyText"/>
      </w:pPr>
      <w:r>
        <w:rPr>
          <w:b/>
          <w:bCs/>
        </w:rPr>
        <w:t xml:space="preserve">Deterministically derivable.</w:t>
      </w:r>
      <w:r>
        <w:t xml:space="preserve"> </w:t>
      </w:r>
      <w:r>
        <w:t xml:space="preserve">Any party in possession</w:t>
      </w:r>
      <w:r>
        <w:t xml:space="preserve"> </w:t>
      </w:r>
      <w:r>
        <w:t xml:space="preserve">of the public key, the Verification Provider identifier, and the</w:t>
      </w:r>
      <w:r>
        <w:t xml:space="preserve"> </w:t>
      </w:r>
      <w:r>
        <w:t xml:space="preserve">protocol version may compute the CTID. The Verification Provider does</w:t>
      </w:r>
      <w:r>
        <w:t xml:space="preserve"> </w:t>
      </w:r>
      <w:r>
        <w:t xml:space="preserve">not maintain a separate identifier database; the CTID is computed from</w:t>
      </w:r>
      <w:r>
        <w:t xml:space="preserve"> </w:t>
      </w:r>
      <w:r>
        <w:t xml:space="preserve">the inputs at the time of need.</w:t>
      </w:r>
    </w:p>
    <w:p>
      <w:pPr>
        <w:pStyle w:val="BodyText"/>
      </w:pPr>
      <w:r>
        <w:rPr>
          <w:b/>
          <w:bCs/>
        </w:rPr>
        <w:t xml:space="preserve">Portable across jurisdictions.</w:t>
      </w:r>
      <w:r>
        <w:t xml:space="preserve"> </w:t>
      </w:r>
      <w:r>
        <w:t xml:space="preserve">The CTID is</w:t>
      </w:r>
      <w:r>
        <w:t xml:space="preserve"> </w:t>
      </w:r>
      <w:r>
        <w:t xml:space="preserve">recognized by readers, platforms, publishers, and regulators in</w:t>
      </w:r>
      <w:r>
        <w:t xml:space="preserve"> </w:t>
      </w:r>
      <w:r>
        <w:t xml:space="preserve">jurisdictions other than the jurisdiction of the issuing Verification</w:t>
      </w:r>
      <w:r>
        <w:t xml:space="preserve"> </w:t>
      </w:r>
      <w:r>
        <w:t xml:space="preserve">Provider, subject to the legal interoperability frameworks described in</w:t>
      </w:r>
      <w:r>
        <w:t xml:space="preserve"> </w:t>
      </w:r>
      <w:r>
        <w:t xml:space="preserve">Part IX.</w:t>
      </w:r>
    </w:p>
    <w:bookmarkEnd w:id="71"/>
    <w:bookmarkStart w:id="72" w:name="X7bb4ddfc0c909a48d86615cc7cee37cb1b00549"/>
    <w:p>
      <w:pPr>
        <w:pStyle w:val="Heading3"/>
      </w:pPr>
      <w:r>
        <w:t xml:space="preserve">4.1.4 Migration to native post-quantum authenticator support</w:t>
      </w:r>
    </w:p>
    <w:p>
      <w:pPr>
        <w:pStyle w:val="FirstParagraph"/>
      </w:pPr>
      <w:r>
        <w:t xml:space="preserve">At the publication of this whitepaper, the principal hardware</w:t>
      </w:r>
      <w:r>
        <w:t xml:space="preserve"> </w:t>
      </w:r>
      <w:r>
        <w:t xml:space="preserve">authenticators marketed under the FIDO2 specification (including the</w:t>
      </w:r>
      <w:r>
        <w:t xml:space="preserve"> </w:t>
      </w:r>
      <w:r>
        <w:t xml:space="preserve">products of Yubico, Google, and Apple) do not support ML-DSA-65</w:t>
      </w:r>
      <w:r>
        <w:t xml:space="preserve"> </w:t>
      </w:r>
      <w:r>
        <w:t xml:space="preserve">natively. The protocol’s transition path comprises three stages.</w:t>
      </w:r>
    </w:p>
    <w:p>
      <w:pPr>
        <w:pStyle w:val="BodyText"/>
      </w:pPr>
      <w:r>
        <w:rPr>
          <w:b/>
          <w:bCs/>
        </w:rPr>
        <w:t xml:space="preserve">Stage 1: enveloped classical signature.</w:t>
      </w:r>
      <w:r>
        <w:t xml:space="preserve"> </w:t>
      </w:r>
      <w:r>
        <w:t xml:space="preserve">A holder</w:t>
      </w:r>
      <w:r>
        <w:t xml:space="preserve"> </w:t>
      </w:r>
      <w:r>
        <w:t xml:space="preserve">using a classical authenticator (Ed25519 or ECDSA P-256) submits the</w:t>
      </w:r>
      <w:r>
        <w:t xml:space="preserve"> </w:t>
      </w:r>
      <w:r>
        <w:t xml:space="preserve">public key of the classical credential to the Verification Provider. The</w:t>
      </w:r>
      <w:r>
        <w:t xml:space="preserve"> </w:t>
      </w:r>
      <w:r>
        <w:t xml:space="preserve">Verification Provider generates an ML-DSA-65 keypair on behalf of the</w:t>
      </w:r>
      <w:r>
        <w:t xml:space="preserve"> </w:t>
      </w:r>
      <w:r>
        <w:t xml:space="preserve">holder, binds the ML-DSA-65 public key to the holder’s classical public</w:t>
      </w:r>
      <w:r>
        <w:t xml:space="preserve"> </w:t>
      </w:r>
      <w:r>
        <w:t xml:space="preserve">key in an enveloping signature, and supplies the ML-DSA-65 keypair to</w:t>
      </w:r>
      <w:r>
        <w:t xml:space="preserve"> </w:t>
      </w:r>
      <w:r>
        <w:t xml:space="preserve">the holder’s software for storage in encrypted form on the holder’s</w:t>
      </w:r>
      <w:r>
        <w:t xml:space="preserve"> </w:t>
      </w:r>
      <w:r>
        <w:t xml:space="preserve">device. The CTID is derived from the ML-DSA-65 public key.</w:t>
      </w:r>
    </w:p>
    <w:p>
      <w:pPr>
        <w:pStyle w:val="BodyText"/>
      </w:pPr>
      <w:r>
        <w:rPr>
          <w:b/>
          <w:bCs/>
        </w:rPr>
        <w:t xml:space="preserve">Stage 2: dual-mode authenticator support.</w:t>
      </w:r>
      <w:r>
        <w:t xml:space="preserve"> </w:t>
      </w:r>
      <w:r>
        <w:t xml:space="preserve">As FIDO2</w:t>
      </w:r>
      <w:r>
        <w:t xml:space="preserve"> </w:t>
      </w:r>
      <w:r>
        <w:t xml:space="preserve">authenticators add native ML-DSA-65 support (anticipated 2026 to 2028</w:t>
      </w:r>
      <w:r>
        <w:t xml:space="preserve"> </w:t>
      </w:r>
      <w:r>
        <w:t xml:space="preserve">based on the FIDO Alliance roadmap), holders may upgrade to</w:t>
      </w:r>
      <w:r>
        <w:t xml:space="preserve"> </w:t>
      </w:r>
      <w:r>
        <w:t xml:space="preserve">authenticators producing ML-DSA-65 signatures natively. Existing CTIDs</w:t>
      </w:r>
      <w:r>
        <w:t xml:space="preserve"> </w:t>
      </w:r>
      <w:r>
        <w:t xml:space="preserve">continue to operate; new CTIDs use the native authenticator.</w:t>
      </w:r>
    </w:p>
    <w:p>
      <w:pPr>
        <w:pStyle w:val="BodyText"/>
      </w:pPr>
      <w:r>
        <w:rPr>
          <w:b/>
          <w:bCs/>
        </w:rPr>
        <w:t xml:space="preserve">Stage 3: native-only operation.</w:t>
      </w:r>
      <w:r>
        <w:t xml:space="preserve"> </w:t>
      </w:r>
      <w:r>
        <w:t xml:space="preserve">When native</w:t>
      </w:r>
      <w:r>
        <w:t xml:space="preserve"> </w:t>
      </w:r>
      <w:r>
        <w:t xml:space="preserve">ML-DSA-65 authenticator support becomes ubiquitous, the AI Trust Council</w:t>
      </w:r>
      <w:r>
        <w:t xml:space="preserve"> </w:t>
      </w:r>
      <w:r>
        <w:t xml:space="preserve">retires the enveloped classical signature path for new CTID issuance.</w:t>
      </w:r>
      <w:r>
        <w:t xml:space="preserve"> </w:t>
      </w:r>
      <w:r>
        <w:t xml:space="preserve">Existing CTIDs continue to operate. The retirement decision is published</w:t>
      </w:r>
      <w:r>
        <w:t xml:space="preserve"> </w:t>
      </w:r>
      <w:r>
        <w:t xml:space="preserve">with at least eighteen months of notice.</w:t>
      </w:r>
    </w:p>
    <w:bookmarkEnd w:id="72"/>
    <w:bookmarkEnd w:id="73"/>
    <w:bookmarkStart w:id="78" w:name="the-verification-provider"/>
    <w:p>
      <w:pPr>
        <w:pStyle w:val="Heading2"/>
      </w:pPr>
      <w:r>
        <w:t xml:space="preserve">4.2 The Verification Provider</w:t>
      </w:r>
    </w:p>
    <w:p>
      <w:pPr>
        <w:pStyle w:val="FirstParagraph"/>
      </w:pPr>
      <w:r>
        <w:t xml:space="preserve">A Verification Provider is an organization accredited by the AI Trust</w:t>
      </w:r>
      <w:r>
        <w:t xml:space="preserve"> </w:t>
      </w:r>
      <w:r>
        <w:t xml:space="preserve">Council, on the recommendation of The AI Lab, to issue CTIDs.</w:t>
      </w:r>
    </w:p>
    <w:bookmarkStart w:id="74" w:name="role"/>
    <w:p>
      <w:pPr>
        <w:pStyle w:val="Heading3"/>
      </w:pPr>
      <w:r>
        <w:t xml:space="preserve">4.2.1 Role</w:t>
      </w:r>
    </w:p>
    <w:p>
      <w:pPr>
        <w:pStyle w:val="FirstParagraph"/>
      </w:pPr>
      <w:r>
        <w:t xml:space="preserve">A Verification Provider performs three functions.</w:t>
      </w:r>
    </w:p>
    <w:p>
      <w:pPr>
        <w:pStyle w:val="BodyText"/>
      </w:pPr>
      <w:r>
        <w:rPr>
          <w:b/>
          <w:bCs/>
        </w:rPr>
        <w:t xml:space="preserve">Identity verification.</w:t>
      </w:r>
      <w:r>
        <w:t xml:space="preserve"> </w:t>
      </w:r>
      <w:r>
        <w:t xml:space="preserve">The Verification Provider</w:t>
      </w:r>
      <w:r>
        <w:t xml:space="preserve"> </w:t>
      </w:r>
      <w:r>
        <w:t xml:space="preserve">verifies the identity of a prospective CTID holder against published</w:t>
      </w:r>
      <w:r>
        <w:t xml:space="preserve"> </w:t>
      </w:r>
      <w:r>
        <w:t xml:space="preserve">criteria. The criteria are graded: a basic CTID may be issued on the</w:t>
      </w:r>
      <w:r>
        <w:t xml:space="preserve"> </w:t>
      </w:r>
      <w:r>
        <w:t xml:space="preserve">basis of a verified email address; an enhanced CTID may be issued on the</w:t>
      </w:r>
      <w:r>
        <w:t xml:space="preserve"> </w:t>
      </w:r>
      <w:r>
        <w:t xml:space="preserve">basis of a government-issued identity document together with a liveness</w:t>
      </w:r>
      <w:r>
        <w:t xml:space="preserve"> </w:t>
      </w:r>
      <w:r>
        <w:t xml:space="preserve">check; a high-assurance CTID may be issued on the basis of in-person</w:t>
      </w:r>
      <w:r>
        <w:t xml:space="preserve"> </w:t>
      </w:r>
      <w:r>
        <w:t xml:space="preserve">verification with documentary evidence and biometric binding. The</w:t>
      </w:r>
      <w:r>
        <w:t xml:space="preserve"> </w:t>
      </w:r>
      <w:r>
        <w:t xml:space="preserve">criteria applicable to each grade are published in the Verification</w:t>
      </w:r>
      <w:r>
        <w:t xml:space="preserve"> </w:t>
      </w:r>
      <w:r>
        <w:t xml:space="preserve">Provider’s Accreditation Schedule.</w:t>
      </w:r>
    </w:p>
    <w:p>
      <w:pPr>
        <w:pStyle w:val="BodyText"/>
      </w:pPr>
      <w:r>
        <w:rPr>
          <w:b/>
          <w:bCs/>
        </w:rPr>
        <w:t xml:space="preserve">CTID issuance.</w:t>
      </w:r>
      <w:r>
        <w:t xml:space="preserve"> </w:t>
      </w:r>
      <w:r>
        <w:t xml:space="preserve">Following identity verification, the</w:t>
      </w:r>
      <w:r>
        <w:t xml:space="preserve"> </w:t>
      </w:r>
      <w:r>
        <w:t xml:space="preserve">Verification Provider performs the issuance computation described in</w:t>
      </w:r>
      <w:r>
        <w:t xml:space="preserve"> </w:t>
      </w:r>
      <w:r>
        <w:t xml:space="preserve">Section 4.1, signs the issuance certificate, and publishes the issuance</w:t>
      </w:r>
      <w:r>
        <w:t xml:space="preserve"> </w:t>
      </w:r>
      <w:r>
        <w:t xml:space="preserve">event to the federated DAG.</w:t>
      </w:r>
    </w:p>
    <w:p>
      <w:pPr>
        <w:pStyle w:val="BodyText"/>
      </w:pPr>
      <w:r>
        <w:rPr>
          <w:b/>
          <w:bCs/>
        </w:rPr>
        <w:t xml:space="preserve">Mapping maintenance and disclosure.</w:t>
      </w:r>
      <w:r>
        <w:t xml:space="preserve"> </w:t>
      </w:r>
      <w:r>
        <w:t xml:space="preserve">The Verification</w:t>
      </w:r>
      <w:r>
        <w:t xml:space="preserve"> </w:t>
      </w:r>
      <w:r>
        <w:t xml:space="preserve">Provider maintains the mapping between the CTID and the holder’s</w:t>
      </w:r>
      <w:r>
        <w:t xml:space="preserve"> </w:t>
      </w:r>
      <w:r>
        <w:t xml:space="preserve">real-world identity in a secure data store under the data protection law</w:t>
      </w:r>
      <w:r>
        <w:t xml:space="preserve"> </w:t>
      </w:r>
      <w:r>
        <w:t xml:space="preserve">applicable to the Verification Provider’s jurisdiction. Disclosure</w:t>
      </w:r>
      <w:r>
        <w:t xml:space="preserve"> </w:t>
      </w:r>
      <w:r>
        <w:t xml:space="preserve">occurs only through the legal process of the jurisdiction, subject to</w:t>
      </w:r>
      <w:r>
        <w:t xml:space="preserve"> </w:t>
      </w:r>
      <w:r>
        <w:t xml:space="preserve">the warrant canary published by the Verification Provider.</w:t>
      </w:r>
    </w:p>
    <w:bookmarkEnd w:id="74"/>
    <w:bookmarkStart w:id="75" w:name="accreditation"/>
    <w:p>
      <w:pPr>
        <w:pStyle w:val="Heading3"/>
      </w:pPr>
      <w:r>
        <w:t xml:space="preserve">4.2.2 Accreditation</w:t>
      </w:r>
    </w:p>
    <w:p>
      <w:pPr>
        <w:pStyle w:val="FirstParagraph"/>
      </w:pPr>
      <w:r>
        <w:t xml:space="preserve">A prospective Verification Provider submits an application to the AI</w:t>
      </w:r>
      <w:r>
        <w:t xml:space="preserve"> </w:t>
      </w:r>
      <w:r>
        <w:t xml:space="preserve">Trust Council under the procedure published at</w:t>
      </w:r>
      <w:r>
        <w:t xml:space="preserve"> </w:t>
      </w:r>
      <w:r>
        <w:t xml:space="preserve">theailab.org/tip-verification-provider. The application includes:</w:t>
      </w:r>
    </w:p>
    <w:p>
      <w:pPr>
        <w:pStyle w:val="Compact"/>
        <w:numPr>
          <w:ilvl w:val="0"/>
          <w:numId w:val="1005"/>
        </w:numPr>
      </w:pPr>
      <w:r>
        <w:t xml:space="preserve">Identification of the applicant entity, its jurisdiction of</w:t>
      </w:r>
      <w:r>
        <w:t xml:space="preserve"> </w:t>
      </w:r>
      <w:r>
        <w:t xml:space="preserve">incorporation, and its principal place of business.</w:t>
      </w:r>
    </w:p>
    <w:p>
      <w:pPr>
        <w:pStyle w:val="Compact"/>
        <w:numPr>
          <w:ilvl w:val="0"/>
          <w:numId w:val="1005"/>
        </w:numPr>
      </w:pPr>
      <w:r>
        <w:t xml:space="preserve">Identification of the natural persons responsible for the</w:t>
      </w:r>
      <w:r>
        <w:t xml:space="preserve"> </w:t>
      </w:r>
      <w:r>
        <w:t xml:space="preserve">Verification Provider’s operations.</w:t>
      </w:r>
    </w:p>
    <w:p>
      <w:pPr>
        <w:pStyle w:val="Compact"/>
        <w:numPr>
          <w:ilvl w:val="0"/>
          <w:numId w:val="1005"/>
        </w:numPr>
      </w:pPr>
      <w:r>
        <w:t xml:space="preserve">Description of the applicant’s identity verification practices at</w:t>
      </w:r>
      <w:r>
        <w:t xml:space="preserve"> </w:t>
      </w:r>
      <w:r>
        <w:t xml:space="preserve">each grade.</w:t>
      </w:r>
    </w:p>
    <w:p>
      <w:pPr>
        <w:pStyle w:val="Compact"/>
        <w:numPr>
          <w:ilvl w:val="0"/>
          <w:numId w:val="1005"/>
        </w:numPr>
      </w:pPr>
      <w:r>
        <w:t xml:space="preserve">Description of the applicant’s information security program.</w:t>
      </w:r>
    </w:p>
    <w:p>
      <w:pPr>
        <w:pStyle w:val="Compact"/>
        <w:numPr>
          <w:ilvl w:val="0"/>
          <w:numId w:val="1005"/>
        </w:numPr>
      </w:pPr>
      <w:r>
        <w:t xml:space="preserve">Description of the applicant’s data protection program, including</w:t>
      </w:r>
      <w:r>
        <w:t xml:space="preserve"> </w:t>
      </w:r>
      <w:r>
        <w:t xml:space="preserve">its lawful basis under applicable data protection law, its cross-border</w:t>
      </w:r>
      <w:r>
        <w:t xml:space="preserve"> </w:t>
      </w:r>
      <w:r>
        <w:t xml:space="preserve">transfer mechanism, and its data subject rights response capacity.</w:t>
      </w:r>
    </w:p>
    <w:p>
      <w:pPr>
        <w:pStyle w:val="Compact"/>
        <w:numPr>
          <w:ilvl w:val="0"/>
          <w:numId w:val="1005"/>
        </w:numPr>
      </w:pPr>
      <w:r>
        <w:t xml:space="preserve">Description of the applicant’s incident response program.</w:t>
      </w:r>
    </w:p>
    <w:p>
      <w:pPr>
        <w:pStyle w:val="Compact"/>
        <w:numPr>
          <w:ilvl w:val="0"/>
          <w:numId w:val="1005"/>
        </w:numPr>
      </w:pPr>
      <w:r>
        <w:t xml:space="preserve">Identification of the auditor proposed to conduct the annual</w:t>
      </w:r>
      <w:r>
        <w:t xml:space="preserve"> </w:t>
      </w:r>
      <w:r>
        <w:t xml:space="preserve">audit.</w:t>
      </w:r>
    </w:p>
    <w:p>
      <w:pPr>
        <w:pStyle w:val="Compact"/>
        <w:numPr>
          <w:ilvl w:val="0"/>
          <w:numId w:val="1005"/>
        </w:numPr>
      </w:pPr>
      <w:r>
        <w:t xml:space="preserve">Identification of the auditor’s qualifications.</w:t>
      </w:r>
    </w:p>
    <w:p>
      <w:pPr>
        <w:pStyle w:val="Compact"/>
        <w:numPr>
          <w:ilvl w:val="0"/>
          <w:numId w:val="1005"/>
        </w:numPr>
      </w:pPr>
      <w:r>
        <w:t xml:space="preserve">Identification of the legal process under the applicant’s</w:t>
      </w:r>
      <w:r>
        <w:t xml:space="preserve"> </w:t>
      </w:r>
      <w:r>
        <w:t xml:space="preserve">jurisdiction by which the mapping between a CTID and a holder’s</w:t>
      </w:r>
      <w:r>
        <w:t xml:space="preserve"> </w:t>
      </w:r>
      <w:r>
        <w:t xml:space="preserve">real-world identity may be compelled to disclosure.</w:t>
      </w:r>
    </w:p>
    <w:p>
      <w:pPr>
        <w:pStyle w:val="Compact"/>
        <w:numPr>
          <w:ilvl w:val="0"/>
          <w:numId w:val="1005"/>
        </w:numPr>
      </w:pPr>
      <w:r>
        <w:t xml:space="preserve">A draft warrant canary statement.</w:t>
      </w:r>
    </w:p>
    <w:p>
      <w:pPr>
        <w:pStyle w:val="FirstParagraph"/>
      </w:pPr>
      <w:r>
        <w:t xml:space="preserve">The AI Trust Council reviews the application, may request</w:t>
      </w:r>
      <w:r>
        <w:t xml:space="preserve"> </w:t>
      </w:r>
      <w:r>
        <w:t xml:space="preserve">supplementary information, and votes on accreditation under the</w:t>
      </w:r>
      <w:r>
        <w:t xml:space="preserve"> </w:t>
      </w:r>
      <w:r>
        <w:t xml:space="preserve">supermajority threshold described in the Charter. Accreditation, on</w:t>
      </w:r>
      <w:r>
        <w:t xml:space="preserve"> </w:t>
      </w:r>
      <w:r>
        <w:t xml:space="preserve">grant, is recorded in the Verification Provider Registry, is published,</w:t>
      </w:r>
      <w:r>
        <w:t xml:space="preserve"> </w:t>
      </w:r>
      <w:r>
        <w:t xml:space="preserve">and is signed by the AI Trust Council.</w:t>
      </w:r>
    </w:p>
    <w:bookmarkEnd w:id="75"/>
    <w:bookmarkStart w:id="76" w:name="annual-obligations"/>
    <w:p>
      <w:pPr>
        <w:pStyle w:val="Heading3"/>
      </w:pPr>
      <w:r>
        <w:t xml:space="preserve">4.2.3 Annual obligations</w:t>
      </w:r>
    </w:p>
    <w:p>
      <w:pPr>
        <w:pStyle w:val="FirstParagraph"/>
      </w:pPr>
      <w:r>
        <w:t xml:space="preserve">A Verification Provider is required to:</w:t>
      </w:r>
    </w:p>
    <w:p>
      <w:pPr>
        <w:pStyle w:val="Compact"/>
        <w:numPr>
          <w:ilvl w:val="0"/>
          <w:numId w:val="1006"/>
        </w:numPr>
      </w:pPr>
      <w:r>
        <w:t xml:space="preserve">Pay the annual accreditation fee in the amount published at</w:t>
      </w:r>
      <w:r>
        <w:t xml:space="preserve"> </w:t>
      </w:r>
      <w:r>
        <w:t xml:space="preserve">theailab.org/tip-verification-provider.</w:t>
      </w:r>
    </w:p>
    <w:p>
      <w:pPr>
        <w:pStyle w:val="Compact"/>
        <w:numPr>
          <w:ilvl w:val="0"/>
          <w:numId w:val="1006"/>
        </w:numPr>
      </w:pPr>
      <w:r>
        <w:t xml:space="preserve">Procure an annual independent audit of identity verification,</w:t>
      </w:r>
      <w:r>
        <w:t xml:space="preserve"> </w:t>
      </w:r>
      <w:r>
        <w:t xml:space="preserve">information security, and data protection practices, conducted by an</w:t>
      </w:r>
      <w:r>
        <w:t xml:space="preserve"> </w:t>
      </w:r>
      <w:r>
        <w:t xml:space="preserve">auditor on the AI Trust Council’s list of accepted auditors.</w:t>
      </w:r>
    </w:p>
    <w:p>
      <w:pPr>
        <w:pStyle w:val="Compact"/>
        <w:numPr>
          <w:ilvl w:val="0"/>
          <w:numId w:val="1006"/>
        </w:numPr>
      </w:pPr>
      <w:r>
        <w:t xml:space="preserve">Publish a current warrant canary statement on the Verification</w:t>
      </w:r>
      <w:r>
        <w:t xml:space="preserve"> </w:t>
      </w:r>
      <w:r>
        <w:t xml:space="preserve">Provider’s website at an interval of not less than ninety days.</w:t>
      </w:r>
    </w:p>
    <w:p>
      <w:pPr>
        <w:pStyle w:val="Compact"/>
        <w:numPr>
          <w:ilvl w:val="0"/>
          <w:numId w:val="1006"/>
        </w:numPr>
      </w:pPr>
      <w:r>
        <w:t xml:space="preserve">Publish a current jurisdiction declaration.</w:t>
      </w:r>
    </w:p>
    <w:p>
      <w:pPr>
        <w:pStyle w:val="Compact"/>
        <w:numPr>
          <w:ilvl w:val="0"/>
          <w:numId w:val="1006"/>
        </w:numPr>
      </w:pPr>
      <w:r>
        <w:t xml:space="preserve">Notify the AI Trust Council of any change in the Verification</w:t>
      </w:r>
      <w:r>
        <w:t xml:space="preserve"> </w:t>
      </w:r>
      <w:r>
        <w:t xml:space="preserve">Provider’s jurisdiction declaration, in the natural persons responsible</w:t>
      </w:r>
      <w:r>
        <w:t xml:space="preserve"> </w:t>
      </w:r>
      <w:r>
        <w:t xml:space="preserve">for operations, in the auditor, or in any material respect of the</w:t>
      </w:r>
      <w:r>
        <w:t xml:space="preserve"> </w:t>
      </w:r>
      <w:r>
        <w:t xml:space="preserve">accreditation submission.</w:t>
      </w:r>
    </w:p>
    <w:p>
      <w:pPr>
        <w:pStyle w:val="Compact"/>
        <w:numPr>
          <w:ilvl w:val="0"/>
          <w:numId w:val="1006"/>
        </w:numPr>
      </w:pPr>
      <w:r>
        <w:t xml:space="preserve">Notify the AI Trust Council of any significant incident affecting</w:t>
      </w:r>
      <w:r>
        <w:t xml:space="preserve"> </w:t>
      </w:r>
      <w:r>
        <w:t xml:space="preserve">the integrity of identity verification, the security of the mapping, or</w:t>
      </w:r>
      <w:r>
        <w:t xml:space="preserve"> </w:t>
      </w:r>
      <w:r>
        <w:t xml:space="preserve">the operation of the Verification Provider, in accordance with the</w:t>
      </w:r>
      <w:r>
        <w:t xml:space="preserve"> </w:t>
      </w:r>
      <w:r>
        <w:t xml:space="preserve">incident notification timeline of the Verification Provider’s</w:t>
      </w:r>
      <w:r>
        <w:t xml:space="preserve"> </w:t>
      </w:r>
      <w:r>
        <w:t xml:space="preserve">jurisdiction (NIS2 timelines where applicable).</w:t>
      </w:r>
    </w:p>
    <w:p>
      <w:pPr>
        <w:pStyle w:val="Compact"/>
        <w:numPr>
          <w:ilvl w:val="0"/>
          <w:numId w:val="1006"/>
        </w:numPr>
      </w:pPr>
      <w:r>
        <w:t xml:space="preserve">Comply with applicable data protection law in each jurisdiction in</w:t>
      </w:r>
      <w:r>
        <w:t xml:space="preserve"> </w:t>
      </w:r>
      <w:r>
        <w:t xml:space="preserve">which the Verification Provider operates.</w:t>
      </w:r>
    </w:p>
    <w:bookmarkEnd w:id="76"/>
    <w:bookmarkStart w:id="77" w:name="suspension-and-revocation"/>
    <w:p>
      <w:pPr>
        <w:pStyle w:val="Heading3"/>
      </w:pPr>
      <w:r>
        <w:t xml:space="preserve">4.2.4 Suspension and revocation</w:t>
      </w:r>
    </w:p>
    <w:p>
      <w:pPr>
        <w:pStyle w:val="FirstParagraph"/>
      </w:pPr>
      <w:r>
        <w:t xml:space="preserve">The AI Trust Council may suspend or revoke the accreditation of a</w:t>
      </w:r>
      <w:r>
        <w:t xml:space="preserve"> </w:t>
      </w:r>
      <w:r>
        <w:t xml:space="preserve">Verification Provider for cause. Causes include the failure to satisfy</w:t>
      </w:r>
      <w:r>
        <w:t xml:space="preserve"> </w:t>
      </w:r>
      <w:r>
        <w:t xml:space="preserve">an annual obligation, a material adverse audit finding, a material</w:t>
      </w:r>
      <w:r>
        <w:t xml:space="preserve"> </w:t>
      </w:r>
      <w:r>
        <w:t xml:space="preserve">adverse data protection finding by a supervisory authority, a material</w:t>
      </w:r>
      <w:r>
        <w:t xml:space="preserve"> </w:t>
      </w:r>
      <w:r>
        <w:t xml:space="preserve">change in the Verification Provider’s jurisdiction declaration affecting</w:t>
      </w:r>
      <w:r>
        <w:t xml:space="preserve"> </w:t>
      </w:r>
      <w:r>
        <w:t xml:space="preserve">the integrity of the mapping, or a determination that the Verification</w:t>
      </w:r>
      <w:r>
        <w:t xml:space="preserve"> </w:t>
      </w:r>
      <w:r>
        <w:t xml:space="preserve">Provider has engaged in conduct inconsistent with the Charter.</w:t>
      </w:r>
      <w:r>
        <w:t xml:space="preserve"> </w:t>
      </w:r>
      <w:r>
        <w:t xml:space="preserve">Suspension and revocation events are signed by the AI Trust Council and</w:t>
      </w:r>
      <w:r>
        <w:t xml:space="preserve"> </w:t>
      </w:r>
      <w:r>
        <w:t xml:space="preserve">published to the federated DAG. The procedure and the appeal rights are</w:t>
      </w:r>
      <w:r>
        <w:t xml:space="preserve"> </w:t>
      </w:r>
      <w:r>
        <w:t xml:space="preserve">described in the Charter.</w:t>
      </w:r>
    </w:p>
    <w:bookmarkEnd w:id="77"/>
    <w:bookmarkEnd w:id="78"/>
    <w:bookmarkStart w:id="83" w:name="pseudonymity-revocation-and-succession"/>
    <w:p>
      <w:pPr>
        <w:pStyle w:val="Heading2"/>
      </w:pPr>
      <w:r>
        <w:t xml:space="preserve">4.3 Pseudonymity, revocation, and succession</w:t>
      </w:r>
    </w:p>
    <w:p>
      <w:pPr>
        <w:pStyle w:val="FirstParagraph"/>
      </w:pPr>
      <w:r>
        <w:t xml:space="preserve">The CTID’s pseudonymous character is structural to the protocol. The</w:t>
      </w:r>
      <w:r>
        <w:t xml:space="preserve"> </w:t>
      </w:r>
      <w:r>
        <w:t xml:space="preserve">revocation lifecycle preserves the pseudonymous character while</w:t>
      </w:r>
      <w:r>
        <w:t xml:space="preserve"> </w:t>
      </w:r>
      <w:r>
        <w:t xml:space="preserve">supplying the mechanisms necessary to operate the protocol against</w:t>
      </w:r>
      <w:r>
        <w:t xml:space="preserve"> </w:t>
      </w:r>
      <w:r>
        <w:t xml:space="preserve">compromised keys, departed holders, and adversely adjudicated CTIDs.</w:t>
      </w:r>
    </w:p>
    <w:bookmarkStart w:id="79" w:name="pseudonymity-in-operation"/>
    <w:p>
      <w:pPr>
        <w:pStyle w:val="Heading3"/>
      </w:pPr>
      <w:r>
        <w:t xml:space="preserve">4.3.1 Pseudonymity in operation</w:t>
      </w:r>
    </w:p>
    <w:p>
      <w:pPr>
        <w:pStyle w:val="FirstParagraph"/>
      </w:pPr>
      <w:r>
        <w:t xml:space="preserve">A CTID may be used by the holder across platforms, surfaces, and</w:t>
      </w:r>
      <w:r>
        <w:t xml:space="preserve"> </w:t>
      </w:r>
      <w:r>
        <w:t xml:space="preserve">jurisdictions without disclosing the holder’s real-world identity to the</w:t>
      </w:r>
      <w:r>
        <w:t xml:space="preserve"> </w:t>
      </w:r>
      <w:r>
        <w:t xml:space="preserve">platforms, surfaces, or jurisdictions where the CTID is used. The</w:t>
      </w:r>
      <w:r>
        <w:t xml:space="preserve"> </w:t>
      </w:r>
      <w:r>
        <w:t xml:space="preserve">platforms and surfaces see the CTID; the Verification Provider sees the</w:t>
      </w:r>
      <w:r>
        <w:t xml:space="preserve"> </w:t>
      </w:r>
      <w:r>
        <w:t xml:space="preserve">mapping; no other party sees the mapping unless the Verification</w:t>
      </w:r>
      <w:r>
        <w:t xml:space="preserve"> </w:t>
      </w:r>
      <w:r>
        <w:t xml:space="preserve">Provider discloses it.</w:t>
      </w:r>
    </w:p>
    <w:bookmarkEnd w:id="79"/>
    <w:bookmarkStart w:id="80" w:name="revocation-by-the-holder"/>
    <w:p>
      <w:pPr>
        <w:pStyle w:val="Heading3"/>
      </w:pPr>
      <w:r>
        <w:t xml:space="preserve">4.3.2 Revocation by the holder</w:t>
      </w:r>
    </w:p>
    <w:p>
      <w:pPr>
        <w:pStyle w:val="FirstParagraph"/>
      </w:pPr>
      <w:r>
        <w:t xml:space="preserve">A holder may revoke the holder’s CTID at any time, through a</w:t>
      </w:r>
      <w:r>
        <w:t xml:space="preserve"> </w:t>
      </w:r>
      <w:r>
        <w:t xml:space="preserve">revocation request submitted to the issuing Verification Provider. The</w:t>
      </w:r>
      <w:r>
        <w:t xml:space="preserve"> </w:t>
      </w:r>
      <w:r>
        <w:t xml:space="preserve">Verification Provider publishes the revocation event to the federated</w:t>
      </w:r>
      <w:r>
        <w:t xml:space="preserve"> </w:t>
      </w:r>
      <w:r>
        <w:t xml:space="preserve">DAG within the synchronization interval. Signatures produced by the CTID</w:t>
      </w:r>
      <w:r>
        <w:t xml:space="preserve"> </w:t>
      </w:r>
      <w:r>
        <w:t xml:space="preserve">after the revocation timestamp are treated as suspect by readers and</w:t>
      </w:r>
      <w:r>
        <w:t xml:space="preserve"> </w:t>
      </w:r>
      <w:r>
        <w:t xml:space="preserve">platforms.</w:t>
      </w:r>
    </w:p>
    <w:p>
      <w:pPr>
        <w:pStyle w:val="BodyText"/>
      </w:pPr>
      <w:r>
        <w:t xml:space="preserve">A holder seeking to terminate the holder’s presence in the protocol</w:t>
      </w:r>
      <w:r>
        <w:t xml:space="preserve"> </w:t>
      </w:r>
      <w:r>
        <w:t xml:space="preserve">may instruct the issuing Verification Provider to delete the mapping</w:t>
      </w:r>
      <w:r>
        <w:t xml:space="preserve"> </w:t>
      </w:r>
      <w:r>
        <w:t xml:space="preserve">between the CTID and the holder’s real-world identity. Following</w:t>
      </w:r>
      <w:r>
        <w:t xml:space="preserve"> </w:t>
      </w:r>
      <w:r>
        <w:t xml:space="preserve">deletion, the CTID’s record on the federated DAG remains as an orphaned</w:t>
      </w:r>
      <w:r>
        <w:t xml:space="preserve"> </w:t>
      </w:r>
      <w:r>
        <w:t xml:space="preserve">pseudonymous record. The holder’s real-world identity is no longer</w:t>
      </w:r>
      <w:r>
        <w:t xml:space="preserve"> </w:t>
      </w:r>
      <w:r>
        <w:t xml:space="preserve">derivable from any party’s records subject to the deletion. The</w:t>
      </w:r>
      <w:r>
        <w:t xml:space="preserve"> </w:t>
      </w:r>
      <w:r>
        <w:t xml:space="preserve">pseudonymization analysis under General Data Protection Regulation</w:t>
      </w:r>
      <w:r>
        <w:t xml:space="preserve"> </w:t>
      </w:r>
      <w:r>
        <w:t xml:space="preserve">Recital 26, applied in Section 9.1.2, supports the position that the</w:t>
      </w:r>
      <w:r>
        <w:t xml:space="preserve"> </w:t>
      </w:r>
      <w:r>
        <w:t xml:space="preserve">orphaned record is not personal data.</w:t>
      </w:r>
    </w:p>
    <w:bookmarkEnd w:id="80"/>
    <w:bookmarkStart w:id="81" w:name="revocation-by-the-verification-provider"/>
    <w:p>
      <w:pPr>
        <w:pStyle w:val="Heading3"/>
      </w:pPr>
      <w:r>
        <w:t xml:space="preserve">4.3.3 Revocation by the Verification Provider</w:t>
      </w:r>
    </w:p>
    <w:p>
      <w:pPr>
        <w:pStyle w:val="FirstParagraph"/>
      </w:pPr>
      <w:r>
        <w:t xml:space="preserve">The issuing Verification Provider may revoke a CTID on:</w:t>
      </w:r>
    </w:p>
    <w:p>
      <w:pPr>
        <w:pStyle w:val="Compact"/>
        <w:numPr>
          <w:ilvl w:val="0"/>
          <w:numId w:val="1007"/>
        </w:numPr>
      </w:pPr>
      <w:r>
        <w:t xml:space="preserve">A determination that the keypair has been compromised.</w:t>
      </w:r>
    </w:p>
    <w:p>
      <w:pPr>
        <w:pStyle w:val="Compact"/>
        <w:numPr>
          <w:ilvl w:val="0"/>
          <w:numId w:val="1007"/>
        </w:numPr>
      </w:pPr>
      <w:r>
        <w:t xml:space="preserve">Identification of a material misrepresentation in the identity</w:t>
      </w:r>
      <w:r>
        <w:t xml:space="preserve"> </w:t>
      </w:r>
      <w:r>
        <w:t xml:space="preserve">verification by the holder.</w:t>
      </w:r>
    </w:p>
    <w:p>
      <w:pPr>
        <w:pStyle w:val="Compact"/>
        <w:numPr>
          <w:ilvl w:val="0"/>
          <w:numId w:val="1007"/>
        </w:numPr>
      </w:pPr>
      <w:r>
        <w:t xml:space="preserve">A determination that the CTID has been used in a manner inconsistent</w:t>
      </w:r>
      <w:r>
        <w:t xml:space="preserve"> </w:t>
      </w:r>
      <w:r>
        <w:t xml:space="preserve">with the Verification Provider’s Accreditation Schedule.</w:t>
      </w:r>
    </w:p>
    <w:p>
      <w:pPr>
        <w:pStyle w:val="Compact"/>
        <w:numPr>
          <w:ilvl w:val="0"/>
          <w:numId w:val="1007"/>
        </w:numPr>
      </w:pPr>
      <w:r>
        <w:t xml:space="preserve">A binding order from a court or supervisory authority of competent</w:t>
      </w:r>
      <w:r>
        <w:t xml:space="preserve"> </w:t>
      </w:r>
      <w:r>
        <w:t xml:space="preserve">jurisdiction.</w:t>
      </w:r>
    </w:p>
    <w:p>
      <w:pPr>
        <w:pStyle w:val="Compact"/>
        <w:numPr>
          <w:ilvl w:val="0"/>
          <w:numId w:val="1007"/>
        </w:numPr>
      </w:pPr>
      <w:r>
        <w:t xml:space="preserve">The conclusion of an adjudication process under Part VI in which</w:t>
      </w:r>
      <w:r>
        <w:t xml:space="preserve"> </w:t>
      </w:r>
      <w:r>
        <w:t xml:space="preserve">revocation is the determined consequence.</w:t>
      </w:r>
    </w:p>
    <w:bookmarkEnd w:id="81"/>
    <w:bookmarkStart w:id="82" w:name="succession"/>
    <w:p>
      <w:pPr>
        <w:pStyle w:val="Heading3"/>
      </w:pPr>
      <w:r>
        <w:t xml:space="preserve">4.3.4 Succession</w:t>
      </w:r>
    </w:p>
    <w:p>
      <w:pPr>
        <w:pStyle w:val="FirstParagraph"/>
      </w:pPr>
      <w:r>
        <w:t xml:space="preserve">A holder whose CTID is revoked and who seeks a successor CTID may</w:t>
      </w:r>
      <w:r>
        <w:t xml:space="preserve"> </w:t>
      </w:r>
      <w:r>
        <w:t xml:space="preserve">apply for issuance under the same or a different Verification Provider.</w:t>
      </w:r>
      <w:r>
        <w:t xml:space="preserve"> </w:t>
      </w:r>
      <w:r>
        <w:t xml:space="preserve">The successor CTID is a distinct identifier and is not derived from the</w:t>
      </w:r>
      <w:r>
        <w:t xml:space="preserve"> </w:t>
      </w:r>
      <w:r>
        <w:t xml:space="preserve">revoked CTID. The issuing Verification Provider may, at the holder’s</w:t>
      </w:r>
      <w:r>
        <w:t xml:space="preserve"> </w:t>
      </w:r>
      <w:r>
        <w:t xml:space="preserve">request, publish a succession notice on the federated DAG identifying</w:t>
      </w:r>
      <w:r>
        <w:t xml:space="preserve"> </w:t>
      </w:r>
      <w:r>
        <w:t xml:space="preserve">the revoked CTID and the successor CTID and signed by both the revoked</w:t>
      </w:r>
      <w:r>
        <w:t xml:space="preserve"> </w:t>
      </w:r>
      <w:r>
        <w:t xml:space="preserve">CTID and the successor CTID. The succession notice supports continuity</w:t>
      </w:r>
      <w:r>
        <w:t xml:space="preserve"> </w:t>
      </w:r>
      <w:r>
        <w:t xml:space="preserve">of the holder’s reputation across the change of CTID.</w:t>
      </w:r>
    </w:p>
    <w:p>
      <w:pPr>
        <w:pStyle w:val="BodyText"/>
      </w:pPr>
      <w:r>
        <w:t xml:space="preserve">The succession mechanism does not link the revoked CTID and the</w:t>
      </w:r>
      <w:r>
        <w:t xml:space="preserve"> </w:t>
      </w:r>
      <w:r>
        <w:t xml:space="preserve">successor CTID for parties other than those receiving the succession</w:t>
      </w:r>
      <w:r>
        <w:t xml:space="preserve"> </w:t>
      </w:r>
      <w:r>
        <w:t xml:space="preserve">notice. A holder seeking to terminate continuity may omit the succession</w:t>
      </w:r>
      <w:r>
        <w:t xml:space="preserve"> </w:t>
      </w:r>
      <w:r>
        <w:t xml:space="preserve">notice; the successor CTID then operates without inherited</w:t>
      </w:r>
      <w:r>
        <w:t xml:space="preserve"> </w:t>
      </w:r>
      <w:r>
        <w:t xml:space="preserve">reputation.</w:t>
      </w:r>
    </w:p>
    <w:bookmarkEnd w:id="82"/>
    <w:bookmarkEnd w:id="83"/>
    <w:bookmarkStart w:id="87" w:name="Xe784f9e89d38625849a70cc3feef27f4e448faa"/>
    <w:p>
      <w:pPr>
        <w:pStyle w:val="Heading2"/>
      </w:pPr>
      <w:r>
        <w:t xml:space="preserve">4.4 Biometric binding and the WebAuthn resident key flow</w:t>
      </w:r>
    </w:p>
    <w:p>
      <w:pPr>
        <w:pStyle w:val="FirstParagraph"/>
      </w:pPr>
      <w:r>
        <w:t xml:space="preserve">A CTID is bound to the holder’s device through the WebAuthn resident</w:t>
      </w:r>
      <w:r>
        <w:t xml:space="preserve"> </w:t>
      </w:r>
      <w:r>
        <w:t xml:space="preserve">key authenticator on the device. A CTID is bound to the holder, where</w:t>
      </w:r>
      <w:r>
        <w:t xml:space="preserve"> </w:t>
      </w:r>
      <w:r>
        <w:t xml:space="preserve">the holder elects and the device supports it, through a biometric user</w:t>
      </w:r>
      <w:r>
        <w:t xml:space="preserve"> </w:t>
      </w:r>
      <w:r>
        <w:t xml:space="preserve">verification gesture on the device.</w:t>
      </w:r>
    </w:p>
    <w:bookmarkStart w:id="84" w:name="the-webauthn-resident-key-authenticator"/>
    <w:p>
      <w:pPr>
        <w:pStyle w:val="Heading3"/>
      </w:pPr>
      <w:r>
        <w:t xml:space="preserve">4.4.1 The WebAuthn resident key authenticator</w:t>
      </w:r>
    </w:p>
    <w:p>
      <w:pPr>
        <w:pStyle w:val="FirstParagraph"/>
      </w:pPr>
      <w:r>
        <w:t xml:space="preserve">A WebAuthn resident key authenticator, sometimes called a</w:t>
      </w:r>
      <w:r>
        <w:t xml:space="preserve"> </w:t>
      </w:r>
      <w:r>
        <w:t xml:space="preserve">“discoverable credential” authenticator, is an authenticator that stores</w:t>
      </w:r>
      <w:r>
        <w:t xml:space="preserve"> </w:t>
      </w:r>
      <w:r>
        <w:t xml:space="preserve">the private key of a credential within the authenticator and that</w:t>
      </w:r>
      <w:r>
        <w:t xml:space="preserve"> </w:t>
      </w:r>
      <w:r>
        <w:t xml:space="preserve">returns the credential identifier on user verification without prompting</w:t>
      </w:r>
      <w:r>
        <w:t xml:space="preserve"> </w:t>
      </w:r>
      <w:r>
        <w:t xml:space="preserve">the calling software for the credential identifier. The principal</w:t>
      </w:r>
      <w:r>
        <w:t xml:space="preserve"> </w:t>
      </w:r>
      <w:r>
        <w:t xml:space="preserve">commercial implementations of WebAuthn resident key authenticators at</w:t>
      </w:r>
      <w:r>
        <w:t xml:space="preserve"> </w:t>
      </w:r>
      <w:r>
        <w:t xml:space="preserve">the publication of this whitepaper are the YubiKey 5 Series, the Google</w:t>
      </w:r>
      <w:r>
        <w:t xml:space="preserve"> </w:t>
      </w:r>
      <w:r>
        <w:t xml:space="preserve">Titan Security Key, the Apple platform authenticator (Touch ID and Face</w:t>
      </w:r>
      <w:r>
        <w:t xml:space="preserve"> </w:t>
      </w:r>
      <w:r>
        <w:t xml:space="preserve">ID acting as a FIDO2 authenticator on macOS, iOS, and iPadOS), the</w:t>
      </w:r>
      <w:r>
        <w:t xml:space="preserve"> </w:t>
      </w:r>
      <w:r>
        <w:t xml:space="preserve">Microsoft Windows Hello platform authenticator, and the Android platform</w:t>
      </w:r>
      <w:r>
        <w:t xml:space="preserve"> </w:t>
      </w:r>
      <w:r>
        <w:t xml:space="preserve">authenticator. The protocol is conformant with the WebAuthn Level 3</w:t>
      </w:r>
      <w:r>
        <w:t xml:space="preserve"> </w:t>
      </w:r>
      <w:r>
        <w:t xml:space="preserve">specification published by the World Wide Web Consortium.</w:t>
      </w:r>
    </w:p>
    <w:bookmarkEnd w:id="84"/>
    <w:bookmarkStart w:id="85" w:name="biometric-user-verification"/>
    <w:p>
      <w:pPr>
        <w:pStyle w:val="Heading3"/>
      </w:pPr>
      <w:r>
        <w:t xml:space="preserve">4.4.2 Biometric user verification</w:t>
      </w:r>
    </w:p>
    <w:p>
      <w:pPr>
        <w:pStyle w:val="FirstParagraph"/>
      </w:pPr>
      <w:r>
        <w:t xml:space="preserve">A holder may elect to enable biometric user verification at the time</w:t>
      </w:r>
      <w:r>
        <w:t xml:space="preserve"> </w:t>
      </w:r>
      <w:r>
        <w:t xml:space="preserve">of CTID issuance. Biometric user verification, where enabled, requires</w:t>
      </w:r>
      <w:r>
        <w:t xml:space="preserve"> </w:t>
      </w:r>
      <w:r>
        <w:t xml:space="preserve">the holder to present a biometric (a fingerprint, a face scan, or</w:t>
      </w:r>
      <w:r>
        <w:t xml:space="preserve"> </w:t>
      </w:r>
      <w:r>
        <w:t xml:space="preserve">analogous) to the authenticator before the authenticator will produce a</w:t>
      </w:r>
      <w:r>
        <w:t xml:space="preserve"> </w:t>
      </w:r>
      <w:r>
        <w:t xml:space="preserve">signature on the holder’s behalf.</w:t>
      </w:r>
    </w:p>
    <w:p>
      <w:pPr>
        <w:pStyle w:val="BodyText"/>
      </w:pPr>
      <w:r>
        <w:t xml:space="preserve">The principal architectural decision of the biometric binding is that</w:t>
      </w:r>
      <w:r>
        <w:t xml:space="preserve"> </w:t>
      </w:r>
      <w:r>
        <w:t xml:space="preserve">the biometric template is generated, stored, and matched on the</w:t>
      </w:r>
      <w:r>
        <w:t xml:space="preserve"> </w:t>
      </w:r>
      <w:r>
        <w:t xml:space="preserve">authenticator (and therefore on the holder’s device). The biometric</w:t>
      </w:r>
      <w:r>
        <w:t xml:space="preserve"> </w:t>
      </w:r>
      <w:r>
        <w:t xml:space="preserve">template does not leave the authenticator. The Verification Provider</w:t>
      </w:r>
      <w:r>
        <w:t xml:space="preserve"> </w:t>
      </w:r>
      <w:r>
        <w:t xml:space="preserve">receives only (a) the public key of the WebAuthn credential, (b) the</w:t>
      </w:r>
      <w:r>
        <w:t xml:space="preserve"> </w:t>
      </w:r>
      <w:r>
        <w:t xml:space="preserve">attestation that the authenticator has verified the holder, and (c)</w:t>
      </w:r>
      <w:r>
        <w:t xml:space="preserve"> </w:t>
      </w:r>
      <w:r>
        <w:t xml:space="preserve">where the holder elects, an indication that biometric user verification</w:t>
      </w:r>
      <w:r>
        <w:t xml:space="preserve"> </w:t>
      </w:r>
      <w:r>
        <w:t xml:space="preserve">was used.</w:t>
      </w:r>
    </w:p>
    <w:p>
      <w:pPr>
        <w:pStyle w:val="BodyText"/>
      </w:pPr>
      <w:r>
        <w:t xml:space="preserve">This architecture has three regulatory consequences.</w:t>
      </w:r>
    </w:p>
    <w:p>
      <w:pPr>
        <w:pStyle w:val="BodyText"/>
      </w:pPr>
      <w:r>
        <w:rPr>
          <w:b/>
          <w:bCs/>
        </w:rPr>
        <w:t xml:space="preserve">General Data Protection Regulation Article 9.</w:t>
      </w:r>
      <w:r>
        <w:t xml:space="preserve"> </w:t>
      </w:r>
      <w:r>
        <w:t xml:space="preserve">The</w:t>
      </w:r>
      <w:r>
        <w:t xml:space="preserve"> </w:t>
      </w:r>
      <w:r>
        <w:t xml:space="preserve">Verification Provider does not collect biometric data within the meaning</w:t>
      </w:r>
      <w:r>
        <w:t xml:space="preserve"> </w:t>
      </w:r>
      <w:r>
        <w:t xml:space="preserve">of Article 9(1). The Verification Provider collects the public key and</w:t>
      </w:r>
      <w:r>
        <w:t xml:space="preserve"> </w:t>
      </w:r>
      <w:r>
        <w:t xml:space="preserve">the attestation. The biometric data is collected, processed, and stored</w:t>
      </w:r>
      <w:r>
        <w:t xml:space="preserve"> </w:t>
      </w:r>
      <w:r>
        <w:t xml:space="preserve">exclusively by the authenticator on the holder’s device, where it is in</w:t>
      </w:r>
      <w:r>
        <w:t xml:space="preserve"> </w:t>
      </w:r>
      <w:r>
        <w:t xml:space="preserve">the control of the holder.</w:t>
      </w:r>
    </w:p>
    <w:p>
      <w:pPr>
        <w:pStyle w:val="BodyText"/>
      </w:pPr>
      <w:r>
        <w:rPr>
          <w:b/>
          <w:bCs/>
        </w:rPr>
        <w:t xml:space="preserve">Illinois BIPA and Texas CUBI.</w:t>
      </w:r>
      <w:r>
        <w:t xml:space="preserve"> </w:t>
      </w:r>
      <w:r>
        <w:t xml:space="preserve">The Verification</w:t>
      </w:r>
      <w:r>
        <w:t xml:space="preserve"> </w:t>
      </w:r>
      <w:r>
        <w:t xml:space="preserve">Provider does not collect biometric identifiers within the meaning of</w:t>
      </w:r>
      <w:r>
        <w:t xml:space="preserve"> </w:t>
      </w:r>
      <w:r>
        <w:t xml:space="preserve">the Illinois Biometric Information Privacy Act or the Texas Capture or</w:t>
      </w:r>
      <w:r>
        <w:t xml:space="preserve"> </w:t>
      </w:r>
      <w:r>
        <w:t xml:space="preserve">Use of Biometric Identifier Act. The corresponding obligations on</w:t>
      </w:r>
      <w:r>
        <w:t xml:space="preserve"> </w:t>
      </w:r>
      <w:r>
        <w:t xml:space="preserve">collection, written informed consent, and disclosure that would</w:t>
      </w:r>
      <w:r>
        <w:t xml:space="preserve"> </w:t>
      </w:r>
      <w:r>
        <w:t xml:space="preserve">otherwise apply to the Verification Provider are not triggered.</w:t>
      </w:r>
    </w:p>
    <w:p>
      <w:pPr>
        <w:pStyle w:val="BodyText"/>
      </w:pPr>
      <w:r>
        <w:rPr>
          <w:b/>
          <w:bCs/>
        </w:rPr>
        <w:t xml:space="preserve">Privacy preservation across jurisdictions.</w:t>
      </w:r>
      <w:r>
        <w:t xml:space="preserve"> </w:t>
      </w:r>
      <w:r>
        <w:t xml:space="preserve">A holder</w:t>
      </w:r>
      <w:r>
        <w:t xml:space="preserve"> </w:t>
      </w:r>
      <w:r>
        <w:t xml:space="preserve">presenting a CTID with biometric user verification in a jurisdiction</w:t>
      </w:r>
      <w:r>
        <w:t xml:space="preserve"> </w:t>
      </w:r>
      <w:r>
        <w:t xml:space="preserve">that imposes biometric data localization requirements is not exporting</w:t>
      </w:r>
      <w:r>
        <w:t xml:space="preserve"> </w:t>
      </w:r>
      <w:r>
        <w:t xml:space="preserve">biometric data, because the biometric data remains on the holder’s</w:t>
      </w:r>
      <w:r>
        <w:t xml:space="preserve"> </w:t>
      </w:r>
      <w:r>
        <w:t xml:space="preserve">device. The corresponding cross-border transfer concerns are not</w:t>
      </w:r>
      <w:r>
        <w:t xml:space="preserve"> </w:t>
      </w:r>
      <w:r>
        <w:t xml:space="preserve">implicated.</w:t>
      </w:r>
    </w:p>
    <w:bookmarkEnd w:id="85"/>
    <w:bookmarkStart w:id="86" w:name="backup-recovery-and-device-loss"/>
    <w:p>
      <w:pPr>
        <w:pStyle w:val="Heading3"/>
      </w:pPr>
      <w:r>
        <w:t xml:space="preserve">4.4.3 Backup, recovery, and device loss</w:t>
      </w:r>
    </w:p>
    <w:p>
      <w:pPr>
        <w:pStyle w:val="FirstParagraph"/>
      </w:pPr>
      <w:r>
        <w:t xml:space="preserve">A holder using a single authenticator faces a risk of CTID</w:t>
      </w:r>
      <w:r>
        <w:t xml:space="preserve"> </w:t>
      </w:r>
      <w:r>
        <w:t xml:space="preserve">inaccessibility if the authenticator is lost, damaged, or otherwise</w:t>
      </w:r>
      <w:r>
        <w:t xml:space="preserve"> </w:t>
      </w:r>
      <w:r>
        <w:t xml:space="preserve">becomes unavailable. The protocol supports three responses.</w:t>
      </w:r>
    </w:p>
    <w:p>
      <w:pPr>
        <w:pStyle w:val="BodyText"/>
      </w:pPr>
      <w:r>
        <w:rPr>
          <w:b/>
          <w:bCs/>
        </w:rPr>
        <w:t xml:space="preserve">Multiple authenticators.</w:t>
      </w:r>
      <w:r>
        <w:t xml:space="preserve"> </w:t>
      </w:r>
      <w:r>
        <w:t xml:space="preserve">A holder may, at the time</w:t>
      </w:r>
      <w:r>
        <w:t xml:space="preserve"> </w:t>
      </w:r>
      <w:r>
        <w:t xml:space="preserve">of issuance or subsequently, register multiple authenticators (a primary</w:t>
      </w:r>
      <w:r>
        <w:t xml:space="preserve"> </w:t>
      </w:r>
      <w:r>
        <w:t xml:space="preserve">and one or more secondary) under the same CTID. The Verification</w:t>
      </w:r>
      <w:r>
        <w:t xml:space="preserve"> </w:t>
      </w:r>
      <w:r>
        <w:t xml:space="preserve">Provider associates each authenticator’s public key with the CTID. Loss</w:t>
      </w:r>
      <w:r>
        <w:t xml:space="preserve"> </w:t>
      </w:r>
      <w:r>
        <w:t xml:space="preserve">of one authenticator does not, in this configuration, terminate the</w:t>
      </w:r>
      <w:r>
        <w:t xml:space="preserve"> </w:t>
      </w:r>
      <w:r>
        <w:t xml:space="preserve">CTID.</w:t>
      </w:r>
    </w:p>
    <w:p>
      <w:pPr>
        <w:pStyle w:val="BodyText"/>
      </w:pPr>
      <w:r>
        <w:rPr>
          <w:b/>
          <w:bCs/>
        </w:rPr>
        <w:t xml:space="preserve">Verification Provider attended recovery.</w:t>
      </w:r>
      <w:r>
        <w:t xml:space="preserve"> </w:t>
      </w:r>
      <w:r>
        <w:t xml:space="preserve">A holder</w:t>
      </w:r>
      <w:r>
        <w:t xml:space="preserve"> </w:t>
      </w:r>
      <w:r>
        <w:t xml:space="preserve">who has lost all authenticators may, on satisfaction of the Verification</w:t>
      </w:r>
      <w:r>
        <w:t xml:space="preserve"> </w:t>
      </w:r>
      <w:r>
        <w:t xml:space="preserve">Provider’s recovery criteria, obtain the issuance of a successor CTID</w:t>
      </w:r>
      <w:r>
        <w:t xml:space="preserve"> </w:t>
      </w:r>
      <w:r>
        <w:t xml:space="preserve">with a succession notice as described in Section 4.3.4. The recovery</w:t>
      </w:r>
      <w:r>
        <w:t xml:space="preserve"> </w:t>
      </w:r>
      <w:r>
        <w:t xml:space="preserve">criteria are published in the Verification Provider’s Accreditation</w:t>
      </w:r>
      <w:r>
        <w:t xml:space="preserve"> </w:t>
      </w:r>
      <w:r>
        <w:t xml:space="preserve">Schedule.</w:t>
      </w:r>
    </w:p>
    <w:p>
      <w:pPr>
        <w:pStyle w:val="BodyText"/>
      </w:pPr>
      <w:r>
        <w:rPr>
          <w:b/>
          <w:bCs/>
        </w:rPr>
        <w:t xml:space="preserve">Social recovery (optional, future).</w:t>
      </w:r>
      <w:r>
        <w:t xml:space="preserve"> </w:t>
      </w:r>
      <w:r>
        <w:t xml:space="preserve">The protocol</w:t>
      </w:r>
      <w:r>
        <w:t xml:space="preserve"> </w:t>
      </w:r>
      <w:r>
        <w:t xml:space="preserve">contemplates, as a future feature, the optional binding of a CTID to a</w:t>
      </w:r>
      <w:r>
        <w:t xml:space="preserve"> </w:t>
      </w:r>
      <w:r>
        <w:t xml:space="preserve">set of trusted recovery contacts, the cooperation of a defined subset of</w:t>
      </w:r>
      <w:r>
        <w:t xml:space="preserve"> </w:t>
      </w:r>
      <w:r>
        <w:t xml:space="preserve">whom would authorize recovery. The mechanism is not part of the</w:t>
      </w:r>
      <w:r>
        <w:t xml:space="preserve"> </w:t>
      </w:r>
      <w:r>
        <w:t xml:space="preserve">operational protocol at the publication of this whitepaper; it is</w:t>
      </w:r>
      <w:r>
        <w:t xml:space="preserve"> </w:t>
      </w:r>
      <w:r>
        <w:t xml:space="preserve">identified as a roadmap item in Part XI.</w:t>
      </w:r>
    </w:p>
    <w:bookmarkEnd w:id="86"/>
    <w:bookmarkEnd w:id="87"/>
    <w:bookmarkStart w:id="92" w:name="Xcfd6f3e89d41ac009de67d27103b723cc4fddf4"/>
    <w:p>
      <w:pPr>
        <w:pStyle w:val="Heading2"/>
      </w:pPr>
      <w:r>
        <w:t xml:space="preserve">4.5 Identity portability across jurisdictions</w:t>
      </w:r>
    </w:p>
    <w:p>
      <w:pPr>
        <w:pStyle w:val="FirstParagraph"/>
      </w:pPr>
      <w:r>
        <w:t xml:space="preserve">A CTID issued by a Verification Provider in one jurisdiction is</w:t>
      </w:r>
      <w:r>
        <w:t xml:space="preserve"> </w:t>
      </w:r>
      <w:r>
        <w:t xml:space="preserve">recognized by readers, platforms, publishers, and regulators in</w:t>
      </w:r>
      <w:r>
        <w:t xml:space="preserve"> </w:t>
      </w:r>
      <w:r>
        <w:t xml:space="preserve">jurisdictions other than the jurisdiction of the issuing Verification</w:t>
      </w:r>
      <w:r>
        <w:t xml:space="preserve"> </w:t>
      </w:r>
      <w:r>
        <w:t xml:space="preserve">Provider, subject to the legal interoperability frameworks described in</w:t>
      </w:r>
      <w:r>
        <w:t xml:space="preserve"> </w:t>
      </w:r>
      <w:r>
        <w:t xml:space="preserve">Part IX.</w:t>
      </w:r>
    </w:p>
    <w:bookmarkStart w:id="88" w:name="X1b89f1c6472ae659b576e0899107dcd2b9ae72e"/>
    <w:p>
      <w:pPr>
        <w:pStyle w:val="Heading3"/>
      </w:pPr>
      <w:r>
        <w:t xml:space="preserve">4.5.1 Portability between protocol participants</w:t>
      </w:r>
    </w:p>
    <w:p>
      <w:pPr>
        <w:pStyle w:val="FirstParagraph"/>
      </w:pPr>
      <w:r>
        <w:t xml:space="preserve">The CTID is, as a technical artifact, the same identifier in every</w:t>
      </w:r>
      <w:r>
        <w:t xml:space="preserve"> </w:t>
      </w:r>
      <w:r>
        <w:t xml:space="preserve">jurisdiction. The signature scheme, the federated DAG, and the</w:t>
      </w:r>
      <w:r>
        <w:t xml:space="preserve"> </w:t>
      </w:r>
      <w:r>
        <w:t xml:space="preserve">Verification Provider Registry are common. A reader in any jurisdiction</w:t>
      </w:r>
      <w:r>
        <w:t xml:space="preserve"> </w:t>
      </w:r>
      <w:r>
        <w:t xml:space="preserve">may verify a TIP-CONTENT record signed by a CTID issued in any other</w:t>
      </w:r>
      <w:r>
        <w:t xml:space="preserve"> </w:t>
      </w:r>
      <w:r>
        <w:t xml:space="preserve">jurisdiction. The technical portability is not dependent on any</w:t>
      </w:r>
      <w:r>
        <w:t xml:space="preserve"> </w:t>
      </w:r>
      <w:r>
        <w:t xml:space="preserve">cross-border arrangement.</w:t>
      </w:r>
    </w:p>
    <w:bookmarkEnd w:id="88"/>
    <w:bookmarkStart w:id="89" w:name="portability-of-the-regulatory-effect"/>
    <w:p>
      <w:pPr>
        <w:pStyle w:val="Heading3"/>
      </w:pPr>
      <w:r>
        <w:t xml:space="preserve">4.5.2 Portability of the regulatory effect</w:t>
      </w:r>
    </w:p>
    <w:p>
      <w:pPr>
        <w:pStyle w:val="FirstParagraph"/>
      </w:pPr>
      <w:r>
        <w:t xml:space="preserve">The regulatory effect of a CTID, by contrast, depends on the</w:t>
      </w:r>
      <w:r>
        <w:t xml:space="preserve"> </w:t>
      </w:r>
      <w:r>
        <w:t xml:space="preserve">jurisdiction in which the reader’s regulator operates. A regulator in</w:t>
      </w:r>
      <w:r>
        <w:t xml:space="preserve"> </w:t>
      </w:r>
      <w:r>
        <w:t xml:space="preserve">the European Union, evaluating a CTID issued by a Verification Provider</w:t>
      </w:r>
      <w:r>
        <w:t xml:space="preserve"> </w:t>
      </w:r>
      <w:r>
        <w:t xml:space="preserve">in New Zealand, considers the CTID under the European Union’s regulatory</w:t>
      </w:r>
      <w:r>
        <w:t xml:space="preserve"> </w:t>
      </w:r>
      <w:r>
        <w:t xml:space="preserve">framework. The Verification Provider’s jurisdiction declaration</w:t>
      </w:r>
      <w:r>
        <w:t xml:space="preserve"> </w:t>
      </w:r>
      <w:r>
        <w:t xml:space="preserve">identifies the legal process by which the mapping may be compelled in</w:t>
      </w:r>
      <w:r>
        <w:t xml:space="preserve"> </w:t>
      </w:r>
      <w:r>
        <w:t xml:space="preserve">the issuing jurisdiction; the regulator in the receiving jurisdiction</w:t>
      </w:r>
      <w:r>
        <w:t xml:space="preserve"> </w:t>
      </w:r>
      <w:r>
        <w:t xml:space="preserve">may apply its own legal process to compel disclosure from a Verification</w:t>
      </w:r>
      <w:r>
        <w:t xml:space="preserve"> </w:t>
      </w:r>
      <w:r>
        <w:t xml:space="preserve">Provider operating in the receiving jurisdiction.</w:t>
      </w:r>
    </w:p>
    <w:bookmarkEnd w:id="89"/>
    <w:bookmarkStart w:id="90" w:name="X9a7274645477e7456d76aef59e9657a96ad7c7a"/>
    <w:p>
      <w:pPr>
        <w:pStyle w:val="Heading3"/>
      </w:pPr>
      <w:r>
        <w:t xml:space="preserve">4.5.3 Cross-border interoperability with the European Digital Identity Wallet</w:t>
      </w:r>
    </w:p>
    <w:p>
      <w:pPr>
        <w:pStyle w:val="FirstParagraph"/>
      </w:pPr>
      <w:r>
        <w:t xml:space="preserve">The AI Lab will, through the AI Trust Council, publish a</w:t>
      </w:r>
      <w:r>
        <w:t xml:space="preserve"> </w:t>
      </w:r>
      <w:r>
        <w:t xml:space="preserve">CTID-to-EUDI-Wallet interoperability profile. The profile describes the</w:t>
      </w:r>
      <w:r>
        <w:t xml:space="preserve"> </w:t>
      </w:r>
      <w:r>
        <w:t xml:space="preserve">mapping between a CTID issued by an accredited Verification Provider and</w:t>
      </w:r>
      <w:r>
        <w:t xml:space="preserve"> </w:t>
      </w:r>
      <w:r>
        <w:t xml:space="preserve">a credential presented through a European Digital Identity Wallet under</w:t>
      </w:r>
      <w:r>
        <w:t xml:space="preserve"> </w:t>
      </w:r>
      <w:r>
        <w:t xml:space="preserve">eIDAS 2.0. The profile is intended to permit a holder of a CTID to</w:t>
      </w:r>
      <w:r>
        <w:t xml:space="preserve"> </w:t>
      </w:r>
      <w:r>
        <w:t xml:space="preserve">present an eIDAS-conformant credential bearing the CTID, recognized by</w:t>
      </w:r>
      <w:r>
        <w:t xml:space="preserve"> </w:t>
      </w:r>
      <w:r>
        <w:t xml:space="preserve">relying parties in the European Union that accept EUDI Wallet</w:t>
      </w:r>
      <w:r>
        <w:t xml:space="preserve"> </w:t>
      </w:r>
      <w:r>
        <w:t xml:space="preserve">credentials.</w:t>
      </w:r>
    </w:p>
    <w:bookmarkEnd w:id="90"/>
    <w:bookmarkStart w:id="91" w:name="X84786fbfc524ef76bd86b13de26f59052142aca"/>
    <w:p>
      <w:pPr>
        <w:pStyle w:val="Heading3"/>
      </w:pPr>
      <w:r>
        <w:t xml:space="preserve">4.5.4 Cross-border interoperability with Aadhaar and DigiLocker</w:t>
      </w:r>
    </w:p>
    <w:p>
      <w:pPr>
        <w:pStyle w:val="FirstParagraph"/>
      </w:pPr>
      <w:r>
        <w:t xml:space="preserve">The AI Lab will, through the AI Trust Council, engage with the Unique</w:t>
      </w:r>
      <w:r>
        <w:t xml:space="preserve"> </w:t>
      </w:r>
      <w:r>
        <w:t xml:space="preserve">Identification Authority of India and the Ministry of Electronics and</w:t>
      </w:r>
      <w:r>
        <w:t xml:space="preserve"> </w:t>
      </w:r>
      <w:r>
        <w:t xml:space="preserve">Information Technology concerning interoperability between a CTID issued</w:t>
      </w:r>
      <w:r>
        <w:t xml:space="preserve"> </w:t>
      </w:r>
      <w:r>
        <w:t xml:space="preserve">by a Verification Provider in India and credentials issued through</w:t>
      </w:r>
      <w:r>
        <w:t xml:space="preserve"> </w:t>
      </w:r>
      <w:r>
        <w:t xml:space="preserve">Aadhaar and stored in DigiLocker, subject to applicable Indian law</w:t>
      </w:r>
      <w:r>
        <w:t xml:space="preserve"> </w:t>
      </w:r>
      <w:r>
        <w:t xml:space="preserve">including the Digital Personal Data Protection Act 2023.</w:t>
      </w:r>
    </w:p>
    <w:bookmarkEnd w:id="91"/>
    <w:bookmarkEnd w:id="92"/>
    <w:bookmarkStart w:id="96" w:name="identity-governance-and-dispute"/>
    <w:p>
      <w:pPr>
        <w:pStyle w:val="Heading2"/>
      </w:pPr>
      <w:r>
        <w:t xml:space="preserve">4.6 Identity governance and dispute</w:t>
      </w:r>
    </w:p>
    <w:bookmarkStart w:id="93" w:name="the-ctid-holders-standing"/>
    <w:p>
      <w:pPr>
        <w:pStyle w:val="Heading3"/>
      </w:pPr>
      <w:r>
        <w:t xml:space="preserve">4.6.1 The CTID holder’s standing</w:t>
      </w:r>
    </w:p>
    <w:p>
      <w:pPr>
        <w:pStyle w:val="FirstParagraph"/>
      </w:pPr>
      <w:r>
        <w:t xml:space="preserve">A CTID holder has standing to:</w:t>
      </w:r>
    </w:p>
    <w:p>
      <w:pPr>
        <w:pStyle w:val="Compact"/>
        <w:numPr>
          <w:ilvl w:val="0"/>
          <w:numId w:val="1008"/>
        </w:numPr>
      </w:pPr>
      <w:r>
        <w:t xml:space="preserve">Use the CTID in accordance with the Accreditation Schedule of the</w:t>
      </w:r>
      <w:r>
        <w:t xml:space="preserve"> </w:t>
      </w:r>
      <w:r>
        <w:t xml:space="preserve">issuing Verification Provider.</w:t>
      </w:r>
    </w:p>
    <w:p>
      <w:pPr>
        <w:pStyle w:val="Compact"/>
        <w:numPr>
          <w:ilvl w:val="0"/>
          <w:numId w:val="1008"/>
        </w:numPr>
      </w:pPr>
      <w:r>
        <w:t xml:space="preserve">Revoke the CTID at any time.</w:t>
      </w:r>
    </w:p>
    <w:p>
      <w:pPr>
        <w:pStyle w:val="Compact"/>
        <w:numPr>
          <w:ilvl w:val="0"/>
          <w:numId w:val="1008"/>
        </w:numPr>
      </w:pPr>
      <w:r>
        <w:t xml:space="preserve">Request deletion of the mapping between the CTID and the holder’s</w:t>
      </w:r>
      <w:r>
        <w:t xml:space="preserve"> </w:t>
      </w:r>
      <w:r>
        <w:t xml:space="preserve">real-world identity from the issuing Verification Provider, subject to</w:t>
      </w:r>
      <w:r>
        <w:t xml:space="preserve"> </w:t>
      </w:r>
      <w:r>
        <w:t xml:space="preserve">applicable data protection law.</w:t>
      </w:r>
    </w:p>
    <w:p>
      <w:pPr>
        <w:pStyle w:val="Compact"/>
        <w:numPr>
          <w:ilvl w:val="0"/>
          <w:numId w:val="1008"/>
        </w:numPr>
      </w:pPr>
      <w:r>
        <w:t xml:space="preserve">Apply for a successor CTID following revocation.</w:t>
      </w:r>
    </w:p>
    <w:p>
      <w:pPr>
        <w:pStyle w:val="Compact"/>
        <w:numPr>
          <w:ilvl w:val="0"/>
          <w:numId w:val="1008"/>
        </w:numPr>
      </w:pPr>
      <w:r>
        <w:t xml:space="preserve">Initiate a dispute under Part VI concerning an alleged improper</w:t>
      </w:r>
      <w:r>
        <w:t xml:space="preserve"> </w:t>
      </w:r>
      <w:r>
        <w:t xml:space="preserve">revocation, an alleged improper Blocking Item, or an alleged adverse</w:t>
      </w:r>
      <w:r>
        <w:t xml:space="preserve"> </w:t>
      </w:r>
      <w:r>
        <w:t xml:space="preserve">Trust Score event.</w:t>
      </w:r>
    </w:p>
    <w:p>
      <w:pPr>
        <w:pStyle w:val="Compact"/>
        <w:numPr>
          <w:ilvl w:val="0"/>
          <w:numId w:val="1008"/>
        </w:numPr>
      </w:pPr>
      <w:r>
        <w:t xml:space="preserve">Participate in the AI Trust Council Network Period reauthorization</w:t>
      </w:r>
      <w:r>
        <w:t xml:space="preserve"> </w:t>
      </w:r>
      <w:r>
        <w:t xml:space="preserve">as a representative of CTID holders.</w:t>
      </w:r>
    </w:p>
    <w:bookmarkEnd w:id="93"/>
    <w:bookmarkStart w:id="94" w:name="the-verification-providers-standing"/>
    <w:p>
      <w:pPr>
        <w:pStyle w:val="Heading3"/>
      </w:pPr>
      <w:r>
        <w:t xml:space="preserve">4.6.2 The Verification Provider’s standing</w:t>
      </w:r>
    </w:p>
    <w:p>
      <w:pPr>
        <w:pStyle w:val="FirstParagraph"/>
      </w:pPr>
      <w:r>
        <w:t xml:space="preserve">A Verification Provider has standing to:</w:t>
      </w:r>
    </w:p>
    <w:p>
      <w:pPr>
        <w:pStyle w:val="Compact"/>
        <w:numPr>
          <w:ilvl w:val="0"/>
          <w:numId w:val="1009"/>
        </w:numPr>
      </w:pPr>
      <w:r>
        <w:t xml:space="preserve">Issue, revoke, and adjust the grade of CTIDs under the Accreditation</w:t>
      </w:r>
      <w:r>
        <w:t xml:space="preserve"> </w:t>
      </w:r>
      <w:r>
        <w:t xml:space="preserve">Schedule.</w:t>
      </w:r>
    </w:p>
    <w:p>
      <w:pPr>
        <w:pStyle w:val="Compact"/>
        <w:numPr>
          <w:ilvl w:val="0"/>
          <w:numId w:val="1009"/>
        </w:numPr>
      </w:pPr>
      <w:r>
        <w:t xml:space="preserve">Receive notification of suspension and revocation events affecting</w:t>
      </w:r>
      <w:r>
        <w:t xml:space="preserve"> </w:t>
      </w:r>
      <w:r>
        <w:t xml:space="preserve">the Verification Provider’s accreditation.</w:t>
      </w:r>
    </w:p>
    <w:p>
      <w:pPr>
        <w:pStyle w:val="Compact"/>
        <w:numPr>
          <w:ilvl w:val="0"/>
          <w:numId w:val="1009"/>
        </w:numPr>
      </w:pPr>
      <w:r>
        <w:t xml:space="preserve">Initiate an appeal of any suspension or revocation of its</w:t>
      </w:r>
      <w:r>
        <w:t xml:space="preserve"> </w:t>
      </w:r>
      <w:r>
        <w:t xml:space="preserve">accreditation.</w:t>
      </w:r>
    </w:p>
    <w:p>
      <w:pPr>
        <w:pStyle w:val="Compact"/>
        <w:numPr>
          <w:ilvl w:val="0"/>
          <w:numId w:val="1009"/>
        </w:numPr>
      </w:pPr>
      <w:r>
        <w:t xml:space="preserve">Participate in the AI Trust Council Network Period reauthorization</w:t>
      </w:r>
      <w:r>
        <w:t xml:space="preserve"> </w:t>
      </w:r>
      <w:r>
        <w:t xml:space="preserve">as a representative of Verification Providers.</w:t>
      </w:r>
    </w:p>
    <w:bookmarkEnd w:id="94"/>
    <w:bookmarkStart w:id="95" w:name="disputes"/>
    <w:p>
      <w:pPr>
        <w:pStyle w:val="Heading3"/>
      </w:pPr>
      <w:r>
        <w:t xml:space="preserve">4.6.3 Disputes</w:t>
      </w:r>
    </w:p>
    <w:p>
      <w:pPr>
        <w:pStyle w:val="FirstParagraph"/>
      </w:pPr>
      <w:r>
        <w:t xml:space="preserve">Disputes concerning the issuance, revocation, or operation of a CTID</w:t>
      </w:r>
      <w:r>
        <w:t xml:space="preserve"> </w:t>
      </w:r>
      <w:r>
        <w:t xml:space="preserve">are heard by bonded jurors under Part VI. The Verification Provider, the</w:t>
      </w:r>
      <w:r>
        <w:t xml:space="preserve"> </w:t>
      </w:r>
      <w:r>
        <w:t xml:space="preserve">CTID holder, and a third party adversely affected by the CTID’s use have</w:t>
      </w:r>
      <w:r>
        <w:t xml:space="preserve"> </w:t>
      </w:r>
      <w:r>
        <w:t xml:space="preserve">standing under the rules described in that Part. Adjudication outcomes</w:t>
      </w:r>
      <w:r>
        <w:t xml:space="preserve"> </w:t>
      </w:r>
      <w:r>
        <w:t xml:space="preserve">are published to the federated DAG and are signed by the bonded jurors</w:t>
      </w:r>
      <w:r>
        <w:t xml:space="preserve"> </w:t>
      </w:r>
      <w:r>
        <w:t xml:space="preserve">and by the AI Trust Council.</w:t>
      </w:r>
    </w:p>
    <w:p>
      <w:r>
        <w:pict>
          <v:rect style="width:0;height:1.5pt" o:hralign="center" o:hrstd="t" o:hr="t"/>
        </w:pict>
      </w:r>
    </w:p>
    <w:p>
      <w:pPr>
        <w:pStyle w:val="FirstParagraph"/>
      </w:pPr>
      <w:r>
        <w:rPr>
          <w:b/>
          <w:bCs/>
        </w:rPr>
        <w:t xml:space="preserve">Contact The AI Lab regarding Part IV</w:t>
      </w:r>
    </w:p>
    <w:p>
      <w:pPr>
        <w:pStyle w:val="BodyText"/>
      </w:pPr>
      <w:r>
        <w:t xml:space="preserve">Verification Provider Accreditation:</w:t>
      </w:r>
      <w:r>
        <w:t xml:space="preserve"> </w:t>
      </w:r>
      <w:r>
        <w:rPr>
          <w:rStyle w:val="VerbatimChar"/>
        </w:rPr>
        <w:t xml:space="preserve">licensing@theailab.org</w:t>
      </w:r>
      <w:r>
        <w:t xml:space="preserve"> </w:t>
      </w:r>
      <w:r>
        <w:t xml:space="preserve">,</w:t>
      </w:r>
      <w:r>
        <w:t xml:space="preserve"> </w:t>
      </w:r>
      <w:r>
        <w:t xml:space="preserve">theailab.org/tip-verification-provider Technical Inquiries:</w:t>
      </w:r>
      <w:r>
        <w:t xml:space="preserve"> </w:t>
      </w:r>
      <w:r>
        <w:rPr>
          <w:rStyle w:val="VerbatimChar"/>
        </w:rPr>
        <w:t xml:space="preserve">tip@theailab.org</w:t>
      </w:r>
      <w:r>
        <w:t xml:space="preserve"> </w:t>
      </w:r>
      <w:r>
        <w:t xml:space="preserve">General Counsel:</w:t>
      </w:r>
      <w:r>
        <w:t xml:space="preserve"> </w:t>
      </w:r>
      <w:r>
        <w:rPr>
          <w:rStyle w:val="VerbatimChar"/>
        </w:rPr>
        <w:t xml:space="preserve">legal@theailab.org</w:t>
      </w:r>
    </w:p>
    <w:p>
      <w:pPr>
        <w:pStyle w:val="BodyText"/>
      </w:pPr>
      <w:r>
        <w:t xml:space="preserve">The AI Lab Intelligence Unobscured, Inc. Wilmington, Delaware, United</w:t>
      </w:r>
      <w:r>
        <w:t xml:space="preserve"> </w:t>
      </w:r>
      <w:r>
        <w:t xml:space="preserve">States.</w:t>
      </w:r>
    </w:p>
    <w:bookmarkEnd w:id="95"/>
    <w:bookmarkEnd w:id="96"/>
    <w:bookmarkEnd w:id="97"/>
    <w:bookmarkStart w:id="131" w:name="part-v-tip-content-provenance-layer"/>
    <w:p>
      <w:pPr>
        <w:pStyle w:val="Heading1"/>
      </w:pPr>
      <w:r>
        <w:t xml:space="preserve">Part V: TIP-CONTENT: Provenance Layer</w:t>
      </w:r>
    </w:p>
    <w:p>
      <w:pPr>
        <w:pStyle w:val="FirstParagraph"/>
      </w:pPr>
      <w:r>
        <w:t xml:space="preserve">This Part describes the content provenance layer of the Trust</w:t>
      </w:r>
      <w:r>
        <w:t xml:space="preserve"> </w:t>
      </w:r>
      <w:r>
        <w:t xml:space="preserve">Identity Protocol. The provenance layer comprises the Canonical</w:t>
      </w:r>
      <w:r>
        <w:t xml:space="preserve"> </w:t>
      </w:r>
      <w:r>
        <w:t xml:space="preserve">Normalization Algorithm Version 2.2 (CNA-2.2), the dual operational mode</w:t>
      </w:r>
      <w:r>
        <w:t xml:space="preserve"> </w:t>
      </w:r>
      <w:r>
        <w:t xml:space="preserve">(Publisher Mode and Creator Mode), the content versioning semantics, the</w:t>
      </w:r>
      <w:r>
        <w:t xml:space="preserve"> </w:t>
      </w:r>
      <w:r>
        <w:t xml:space="preserve">Origin Code system, the signature payload format, and the reference</w:t>
      </w:r>
      <w:r>
        <w:t xml:space="preserve"> </w:t>
      </w:r>
      <w:r>
        <w:t xml:space="preserve">packet specification. The provenance layer is the principal interface</w:t>
      </w:r>
      <w:r>
        <w:t xml:space="preserve"> </w:t>
      </w:r>
      <w:r>
        <w:t xml:space="preserve">through which units of content acquire a verifiable cryptographic</w:t>
      </w:r>
      <w:r>
        <w:t xml:space="preserve"> </w:t>
      </w:r>
      <w:r>
        <w:t xml:space="preserve">provenance under the protocol.</w:t>
      </w:r>
    </w:p>
    <w:bookmarkStart w:id="98" w:name="X98bbcce06d8c8a6f211e652a8fc45ea818b8c50"/>
    <w:p>
      <w:pPr>
        <w:pStyle w:val="Heading2"/>
      </w:pPr>
      <w:r>
        <w:t xml:space="preserve">5.1 Overview of the Canonical Normalization Algorithm Version 2.2</w:t>
      </w:r>
    </w:p>
    <w:p>
      <w:pPr>
        <w:pStyle w:val="FirstParagraph"/>
      </w:pPr>
      <w:r>
        <w:t xml:space="preserve">The Canonical Normalization Algorithm Version 2.2 (“CNA-2.2”) is the</w:t>
      </w:r>
      <w:r>
        <w:t xml:space="preserve"> </w:t>
      </w:r>
      <w:r>
        <w:t xml:space="preserve">deterministic procedure by which a unit of content is reduced to a</w:t>
      </w:r>
      <w:r>
        <w:t xml:space="preserve"> </w:t>
      </w:r>
      <w:r>
        <w:t xml:space="preserve">canonical byte sequence and identified by the three-hash content</w:t>
      </w:r>
      <w:r>
        <w:t xml:space="preserve"> </w:t>
      </w:r>
      <w:r>
        <w:t xml:space="preserve">addressing system described in Part III. The Algorithm is the foundation</w:t>
      </w:r>
      <w:r>
        <w:t xml:space="preserve"> </w:t>
      </w:r>
      <w:r>
        <w:t xml:space="preserve">of the provenance layer because the verifiability of a signed content</w:t>
      </w:r>
      <w:r>
        <w:t xml:space="preserve"> </w:t>
      </w:r>
      <w:r>
        <w:t xml:space="preserve">unit depends on a procedure that produces, given the same content unit,</w:t>
      </w:r>
      <w:r>
        <w:t xml:space="preserve"> </w:t>
      </w:r>
      <w:r>
        <w:t xml:space="preserve">the same canonical byte sequence and the same content identifier</w:t>
      </w:r>
      <w:r>
        <w:t xml:space="preserve"> </w:t>
      </w:r>
      <w:r>
        <w:t xml:space="preserve">irrespective of the platform, surface, transport mechanism, or rendering</w:t>
      </w:r>
      <w:r>
        <w:t xml:space="preserve"> </w:t>
      </w:r>
      <w:r>
        <w:t xml:space="preserve">engine.</w:t>
      </w:r>
    </w:p>
    <w:p>
      <w:pPr>
        <w:pStyle w:val="BodyText"/>
      </w:pPr>
      <w:r>
        <w:t xml:space="preserve">CNA-2.2 supersedes the prior CNA-1.0 normalization specified for the</w:t>
      </w:r>
      <w:r>
        <w:t xml:space="preserve"> </w:t>
      </w:r>
      <w:r>
        <w:t xml:space="preserve">WordPress reference plugin and the prior CNA-2.0 and CNA-2.1</w:t>
      </w:r>
      <w:r>
        <w:t xml:space="preserve"> </w:t>
      </w:r>
      <w:r>
        <w:t xml:space="preserve">normalizations specified for the browser extension. The principal</w:t>
      </w:r>
      <w:r>
        <w:t xml:space="preserve"> </w:t>
      </w:r>
      <w:r>
        <w:t xml:space="preserve">differences between CNA-2.2 and its predecessors are the addition of an</w:t>
      </w:r>
      <w:r>
        <w:t xml:space="preserve"> </w:t>
      </w:r>
      <w:r>
        <w:t xml:space="preserve">extensible normalization framework permitting the introduction of new</w:t>
      </w:r>
      <w:r>
        <w:t xml:space="preserve"> </w:t>
      </w:r>
      <w:r>
        <w:t xml:space="preserve">content modality variants (CNA-IMG, CNA-VID, CNA-AUDIO) under the same</w:t>
      </w:r>
      <w:r>
        <w:t xml:space="preserve"> </w:t>
      </w:r>
      <w:r>
        <w:t xml:space="preserve">procedural envelope, the addition of an explicit content scope</w:t>
      </w:r>
      <w:r>
        <w:t xml:space="preserve"> </w:t>
      </w:r>
      <w:r>
        <w:t xml:space="preserve">extraction step, and the strengthening of the platform-specific</w:t>
      </w:r>
      <w:r>
        <w:t xml:space="preserve"> </w:t>
      </w:r>
      <w:r>
        <w:t xml:space="preserve">extraction step against changes in platform document structures.</w:t>
      </w:r>
    </w:p>
    <w:p>
      <w:pPr>
        <w:pStyle w:val="BodyText"/>
      </w:pPr>
      <w:r>
        <w:t xml:space="preserve">CNA-2.2 operates on units of content categorized into three</w:t>
      </w:r>
      <w:r>
        <w:t xml:space="preserve"> </w:t>
      </w:r>
      <w:r>
        <w:t xml:space="preserve">modalities at the publication of this whitepaper: text, structured</w:t>
      </w:r>
      <w:r>
        <w:t xml:space="preserve"> </w:t>
      </w:r>
      <w:r>
        <w:t xml:space="preserve">documents (HTML pages, articles, blog posts, comments), and composite (a</w:t>
      </w:r>
      <w:r>
        <w:t xml:space="preserve"> </w:t>
      </w:r>
      <w:r>
        <w:t xml:space="preserve">structured document together with embedded images, audio, or video). The</w:t>
      </w:r>
      <w:r>
        <w:t xml:space="preserve"> </w:t>
      </w:r>
      <w:r>
        <w:t xml:space="preserve">image, audio, and video modalities are the subject of variants CNA-IMG,</w:t>
      </w:r>
      <w:r>
        <w:t xml:space="preserve"> </w:t>
      </w:r>
      <w:r>
        <w:t xml:space="preserve">CNA-AUDIO, and CNA-VID respectively, which are specified independently</w:t>
      </w:r>
      <w:r>
        <w:t xml:space="preserve"> </w:t>
      </w:r>
      <w:r>
        <w:t xml:space="preserve">and which produce hash outputs compatible with the three-hash addressing</w:t>
      </w:r>
      <w:r>
        <w:t xml:space="preserve"> </w:t>
      </w:r>
      <w:r>
        <w:t xml:space="preserve">of Part III. The variants are referenced in this Part where relevant but</w:t>
      </w:r>
      <w:r>
        <w:t xml:space="preserve"> </w:t>
      </w:r>
      <w:r>
        <w:t xml:space="preserve">are not specified here in detail.</w:t>
      </w:r>
    </w:p>
    <w:bookmarkEnd w:id="98"/>
    <w:bookmarkStart w:id="108" w:name="the-nine-canonical-normalization-steps"/>
    <w:p>
      <w:pPr>
        <w:pStyle w:val="Heading2"/>
      </w:pPr>
      <w:r>
        <w:t xml:space="preserve">5.2 The nine canonical normalization steps</w:t>
      </w:r>
    </w:p>
    <w:p>
      <w:pPr>
        <w:pStyle w:val="FirstParagraph"/>
      </w:pPr>
      <w:r>
        <w:t xml:space="preserve">CNA-2.2 comprises nine ordered steps. Each step is deterministic. The</w:t>
      </w:r>
      <w:r>
        <w:t xml:space="preserve"> </w:t>
      </w:r>
      <w:r>
        <w:t xml:space="preserve">output of step N is the input of step N+1. The output of step 9 is the</w:t>
      </w:r>
      <w:r>
        <w:t xml:space="preserve"> </w:t>
      </w:r>
      <w:r>
        <w:t xml:space="preserve">canonical byte sequence from which the three-hash content identifier is</w:t>
      </w:r>
      <w:r>
        <w:t xml:space="preserve"> </w:t>
      </w:r>
      <w:r>
        <w:t xml:space="preserve">computed.</w:t>
      </w:r>
    </w:p>
    <w:bookmarkStart w:id="99" w:name="step-1-platform-identification"/>
    <w:p>
      <w:pPr>
        <w:pStyle w:val="Heading3"/>
      </w:pPr>
      <w:r>
        <w:t xml:space="preserve">5.2.1 Step 1: Platform identification</w:t>
      </w:r>
    </w:p>
    <w:p>
      <w:pPr>
        <w:pStyle w:val="FirstParagraph"/>
      </w:pPr>
      <w:r>
        <w:t xml:space="preserve">The Algorithm identifies the platform on which the content unit was</w:t>
      </w:r>
      <w:r>
        <w:t xml:space="preserve"> </w:t>
      </w:r>
      <w:r>
        <w:t xml:space="preserve">encountered or originated. Platform identification is performed by</w:t>
      </w:r>
      <w:r>
        <w:t xml:space="preserve"> </w:t>
      </w:r>
      <w:r>
        <w:t xml:space="preserve">matching the document’s metadata, the document’s URL, and the document’s</w:t>
      </w:r>
      <w:r>
        <w:t xml:space="preserve"> </w:t>
      </w:r>
      <w:r>
        <w:t xml:space="preserve">structural signatures against a published platform registry. The</w:t>
      </w:r>
      <w:r>
        <w:t xml:space="preserve"> </w:t>
      </w:r>
      <w:r>
        <w:t xml:space="preserve">platform registry is maintained by The AI Lab and is updated by the</w:t>
      </w:r>
      <w:r>
        <w:t xml:space="preserve"> </w:t>
      </w:r>
      <w:r>
        <w:t xml:space="preserve">AI Trust Council on the introduction of support for new platforms.</w:t>
      </w:r>
      <w:r>
        <w:t xml:space="preserve"> </w:t>
      </w:r>
      <w:r>
        <w:t xml:space="preserve">The canonical list of supported platforms and the per-platform</w:t>
      </w:r>
      <w:r>
        <w:t xml:space="preserve"> </w:t>
      </w:r>
      <w:r>
        <w:t xml:space="preserve">content-type mappings are published as part of the TIP browser</w:t>
      </w:r>
      <w:r>
        <w:t xml:space="preserve"> </w:t>
      </w:r>
      <w:r>
        <w:t xml:space="preserve">extension source distribution, in the files</w:t>
      </w:r>
      <w:r>
        <w:t xml:space="preserve"> </w:t>
      </w:r>
      <w:r>
        <w:rPr>
          <w:rStyle w:val="VerbatimChar"/>
        </w:rPr>
        <w:t xml:space="preserve">src/platform-categories.js</w:t>
      </w:r>
      <w:r>
        <w:t xml:space="preserve"> </w:t>
      </w:r>
      <w:r>
        <w:t xml:space="preserve">(category mapping) and</w:t>
      </w:r>
      <w:r>
        <w:t xml:space="preserve"> </w:t>
      </w:r>
      <w:r>
        <w:rPr>
          <w:rStyle w:val="VerbatimChar"/>
        </w:rPr>
        <w:t xml:space="preserve">src/platform-content-types.js</w:t>
      </w:r>
      <w:r>
        <w:t xml:space="preserve"> </w:t>
      </w:r>
      <w:r>
        <w:t xml:space="preserve">(content-type mapping), and the same</w:t>
      </w:r>
      <w:r>
        <w:t xml:space="preserve"> </w:t>
      </w:r>
      <w:r>
        <w:t xml:space="preserve">list is mirrored on vp.theailab.org for the Verification Provider and</w:t>
      </w:r>
      <w:r>
        <w:t xml:space="preserve"> </w:t>
      </w:r>
      <w:r>
        <w:t xml:space="preserve">creator-registration surfaces.</w:t>
      </w:r>
    </w:p>
    <w:p>
      <w:pPr>
        <w:pStyle w:val="BodyText"/>
      </w:pPr>
      <w:r>
        <w:t xml:space="preserve">At the publication of this whitepaper, the platform registry covers</w:t>
      </w:r>
      <w:r>
        <w:t xml:space="preserve"> </w:t>
      </w:r>
      <w:r>
        <w:t xml:space="preserve">the following categories and platforms:</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Category</w:t>
            </w:r>
          </w:p>
        </w:tc>
        <w:tc>
          <w:tcPr/>
          <w:p>
            <w:pPr>
              <w:pStyle w:val="Compact"/>
            </w:pPr>
            <w:r>
              <w:t xml:space="preserve">Platforms</w:t>
            </w:r>
          </w:p>
        </w:tc>
      </w:tr>
      <w:tr>
        <w:tc>
          <w:tcPr/>
          <w:p>
            <w:pPr>
              <w:pStyle w:val="Compact"/>
            </w:pPr>
            <w:r>
              <w:t xml:space="preserve">Microblog</w:t>
            </w:r>
          </w:p>
        </w:tc>
        <w:tc>
          <w:tcPr/>
          <w:p>
            <w:pPr>
              <w:pStyle w:val="Compact"/>
            </w:pPr>
            <w:r>
              <w:t xml:space="preserve">X (formerly Twitter), Truth Social, Mastodon, Weibo, Threads, Reddit, Tumblr, Bluesky</w:t>
            </w:r>
          </w:p>
        </w:tc>
      </w:tr>
      <w:tr>
        <w:tc>
          <w:tcPr/>
          <w:p>
            <w:pPr>
              <w:pStyle w:val="Compact"/>
            </w:pPr>
            <w:r>
              <w:t xml:space="preserve">Visual</w:t>
            </w:r>
          </w:p>
        </w:tc>
        <w:tc>
          <w:tcPr/>
          <w:p>
            <w:pPr>
              <w:pStyle w:val="Compact"/>
            </w:pPr>
            <w:r>
              <w:t xml:space="preserve">Instagram, Facebook, Pinterest</w:t>
            </w:r>
          </w:p>
        </w:tc>
      </w:tr>
      <w:tr>
        <w:tc>
          <w:tcPr/>
          <w:p>
            <w:pPr>
              <w:pStyle w:val="Compact"/>
            </w:pPr>
            <w:r>
              <w:t xml:space="preserve">Video</w:t>
            </w:r>
          </w:p>
        </w:tc>
        <w:tc>
          <w:tcPr/>
          <w:p>
            <w:pPr>
              <w:pStyle w:val="Compact"/>
            </w:pPr>
            <w:r>
              <w:t xml:space="preserve">YouTube, TikTok</w:t>
            </w:r>
          </w:p>
        </w:tc>
      </w:tr>
      <w:tr>
        <w:tc>
          <w:tcPr/>
          <w:p>
            <w:pPr>
              <w:pStyle w:val="Compact"/>
            </w:pPr>
            <w:r>
              <w:t xml:space="preserve">Audio</w:t>
            </w:r>
          </w:p>
        </w:tc>
        <w:tc>
          <w:tcPr/>
          <w:p>
            <w:pPr>
              <w:pStyle w:val="Compact"/>
            </w:pPr>
            <w:r>
              <w:t xml:space="preserve">Podcast, Vimeo, SoundCloud, Spotify</w:t>
            </w:r>
          </w:p>
        </w:tc>
      </w:tr>
      <w:tr>
        <w:tc>
          <w:tcPr/>
          <w:p>
            <w:pPr>
              <w:pStyle w:val="Compact"/>
            </w:pPr>
            <w:r>
              <w:t xml:space="preserve">News</w:t>
            </w:r>
          </w:p>
        </w:tc>
        <w:tc>
          <w:tcPr/>
          <w:p>
            <w:pPr>
              <w:pStyle w:val="Compact"/>
            </w:pPr>
            <w:r>
              <w:t xml:space="preserve">Reuters, Associated Press (AP News), BOOM, The New York Times, The Wall Street Journal, BBC, generic news outlets</w:t>
            </w:r>
          </w:p>
        </w:tc>
      </w:tr>
      <w:tr>
        <w:tc>
          <w:tcPr/>
          <w:p>
            <w:pPr>
              <w:pStyle w:val="Compact"/>
            </w:pPr>
            <w:r>
              <w:t xml:space="preserve">Articles</w:t>
            </w:r>
          </w:p>
        </w:tc>
        <w:tc>
          <w:tcPr/>
          <w:p>
            <w:pPr>
              <w:pStyle w:val="Compact"/>
            </w:pPr>
            <w:r>
              <w:t xml:space="preserve">LinkedIn, Substack, Medium, WordPress, Blogger, Ghost, Dev.to, Hashnode, SlideShare, Scribd, generic blog platforms</w:t>
            </w:r>
          </w:p>
        </w:tc>
      </w:tr>
      <w:tr>
        <w:tc>
          <w:tcPr/>
          <w:p>
            <w:pPr>
              <w:pStyle w:val="Compact"/>
            </w:pPr>
            <w:r>
              <w:t xml:space="preserve">Messaging</w:t>
            </w:r>
          </w:p>
        </w:tc>
        <w:tc>
          <w:tcPr/>
          <w:p>
            <w:pPr>
              <w:pStyle w:val="Compact"/>
            </w:pPr>
            <w:r>
              <w:t xml:space="preserve">WeChat, Discord, Slack, Telegram, WhatsApp, Element</w:t>
            </w:r>
          </w:p>
        </w:tc>
      </w:tr>
      <w:tr>
        <w:tc>
          <w:tcPr/>
          <w:p>
            <w:pPr>
              <w:pStyle w:val="Compact"/>
            </w:pPr>
            <w:r>
              <w:t xml:space="preserve">Other</w:t>
            </w:r>
          </w:p>
        </w:tc>
        <w:tc>
          <w:tcPr/>
          <w:p>
            <w:pPr>
              <w:pStyle w:val="Compact"/>
            </w:pPr>
            <w:r>
              <w:t xml:space="preserve">Catch-all category for arbitrary HTML pages</w:t>
            </w:r>
          </w:p>
        </w:tc>
      </w:tr>
    </w:tbl>
    <w:p>
      <w:pPr>
        <w:pStyle w:val="BodyText"/>
      </w:pPr>
      <w:r>
        <w:t xml:space="preserve">Each platform exposes an ordered list of content types (for example,</w:t>
      </w:r>
      <w:r>
        <w:t xml:space="preserve"> </w:t>
      </w:r>
      <w:r>
        <w:t xml:space="preserve">on X: tweet, tweet with image, tweet with video, and thread; on</w:t>
      </w:r>
      <w:r>
        <w:t xml:space="preserve"> </w:t>
      </w:r>
      <w:r>
        <w:t xml:space="preserve">LinkedIn: post, photo, carousel, video, document, and article) defined</w:t>
      </w:r>
      <w:r>
        <w:t xml:space="preserve"> </w:t>
      </w:r>
      <w:r>
        <w:t xml:space="preserve">in the</w:t>
      </w:r>
      <w:r>
        <w:t xml:space="preserve"> </w:t>
      </w:r>
      <w:r>
        <w:rPr>
          <w:rStyle w:val="VerbatimChar"/>
        </w:rPr>
        <w:t xml:space="preserve">PLATFORM_CONTENT_TYPES</w:t>
      </w:r>
      <w:r>
        <w:t xml:space="preserve"> </w:t>
      </w:r>
      <w:r>
        <w:t xml:space="preserve">mapping in the extension source. The</w:t>
      </w:r>
      <w:r>
        <w:t xml:space="preserve"> </w:t>
      </w:r>
      <w:r>
        <w:t xml:space="preserve">canonical hashing formula for each content type is defined in</w:t>
      </w:r>
      <w:r>
        <w:t xml:space="preserve"> </w:t>
      </w:r>
      <w:r>
        <w:rPr>
          <w:rStyle w:val="VerbatimChar"/>
        </w:rPr>
        <w:t xml:space="preserve">src/tip-types.js</w:t>
      </w:r>
      <w:r>
        <w:t xml:space="preserve">. The categories and per-platform type lists are</w:t>
      </w:r>
      <w:r>
        <w:t xml:space="preserve"> </w:t>
      </w:r>
      <w:r>
        <w:t xml:space="preserve">maintained as a single source of truth across the browser extension,</w:t>
      </w:r>
      <w:r>
        <w:t xml:space="preserve"> </w:t>
      </w:r>
      <w:r>
        <w:t xml:space="preserve">the WordPress reference plugin, the mobile web application at</w:t>
      </w:r>
      <w:r>
        <w:t xml:space="preserve"> </w:t>
      </w:r>
      <w:r>
        <w:t xml:space="preserve">vp.theailab.org, and this whitepaper.</w:t>
      </w:r>
    </w:p>
    <w:p>
      <w:pPr>
        <w:pStyle w:val="BodyText"/>
      </w:pPr>
      <w:r>
        <w:t xml:space="preserve">In addition to the per-platform content-type lists, the protocol</w:t>
      </w:r>
      <w:r>
        <w:t xml:space="preserve"> </w:t>
      </w:r>
      <w:r>
        <w:t xml:space="preserve">exposes a universal content-type taxonomy presented to creators at</w:t>
      </w:r>
      <w:r>
        <w:t xml:space="preserve"> </w:t>
      </w:r>
      <w:r>
        <w:t xml:space="preserve">the registration surface. The universal taxonomy maps onto the</w:t>
      </w:r>
      <w:r>
        <w:t xml:space="preserve"> </w:t>
      </w:r>
      <w:r>
        <w:t xml:space="preserve">per-platform lists above, onto the CNA-2.2 modality variants</w:t>
      </w:r>
      <w:r>
        <w:t xml:space="preserve"> </w:t>
      </w:r>
      <w:r>
        <w:t xml:space="preserve">described in Section 5.2, and onto the bytewise canonicalization</w:t>
      </w:r>
      <w:r>
        <w:t xml:space="preserve"> </w:t>
      </w:r>
      <w:r>
        <w:t xml:space="preserve">rules defined in</w:t>
      </w:r>
      <w:r>
        <w:t xml:space="preserve"> </w:t>
      </w:r>
      <w:r>
        <w:rPr>
          <w:rStyle w:val="VerbatimChar"/>
        </w:rPr>
        <w:t xml:space="preserve">src/tip-types.js</w:t>
      </w:r>
      <w:r>
        <w:t xml:space="preserve">. At the publication of this</w:t>
      </w:r>
      <w:r>
        <w:t xml:space="preserve"> </w:t>
      </w:r>
      <w:r>
        <w:t xml:space="preserve">whitepaper, the universal taxonomy comprises the following types:</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Content type</w:t>
            </w:r>
          </w:p>
        </w:tc>
        <w:tc>
          <w:tcPr/>
          <w:p>
            <w:pPr>
              <w:pStyle w:val="Compact"/>
            </w:pPr>
            <w:r>
              <w:t xml:space="preserve">Description</w:t>
            </w:r>
          </w:p>
        </w:tc>
      </w:tr>
      <w:tr>
        <w:tc>
          <w:tcPr/>
          <w:p>
            <w:pPr>
              <w:pStyle w:val="Compact"/>
            </w:pPr>
            <w:r>
              <w:t xml:space="preserve">Blog post</w:t>
            </w:r>
          </w:p>
        </w:tc>
        <w:tc>
          <w:tcPr/>
          <w:p>
            <w:pPr>
              <w:pStyle w:val="Compact"/>
            </w:pPr>
            <w:r>
              <w:t xml:space="preserve">Personal or professional blog entry</w:t>
            </w:r>
          </w:p>
        </w:tc>
      </w:tr>
      <w:tr>
        <w:tc>
          <w:tcPr/>
          <w:p>
            <w:pPr>
              <w:pStyle w:val="Compact"/>
            </w:pPr>
            <w:r>
              <w:t xml:space="preserve">News article</w:t>
            </w:r>
          </w:p>
        </w:tc>
        <w:tc>
          <w:tcPr/>
          <w:p>
            <w:pPr>
              <w:pStyle w:val="Compact"/>
            </w:pPr>
            <w:r>
              <w:t xml:space="preserve">Headline, URL, and byline</w:t>
            </w:r>
          </w:p>
        </w:tc>
      </w:tr>
      <w:tr>
        <w:tc>
          <w:tcPr/>
          <w:p>
            <w:pPr>
              <w:pStyle w:val="Compact"/>
            </w:pPr>
            <w:r>
              <w:t xml:space="preserve">Newsletter issue</w:t>
            </w:r>
          </w:p>
        </w:tc>
        <w:tc>
          <w:tcPr/>
          <w:p>
            <w:pPr>
              <w:pStyle w:val="Compact"/>
            </w:pPr>
            <w:r>
              <w:t xml:space="preserve">Issue of a newsletter on Substack, Beehiiv, ConvertKit, Ghost, or comparable platform</w:t>
            </w:r>
          </w:p>
        </w:tc>
      </w:tr>
      <w:tr>
        <w:tc>
          <w:tcPr/>
          <w:p>
            <w:pPr>
              <w:pStyle w:val="Compact"/>
            </w:pPr>
            <w:r>
              <w:t xml:space="preserve">Essay</w:t>
            </w:r>
          </w:p>
        </w:tc>
        <w:tc>
          <w:tcPr/>
          <w:p>
            <w:pPr>
              <w:pStyle w:val="Compact"/>
            </w:pPr>
            <w:r>
              <w:t xml:space="preserve">Long-form personal or opinion essay</w:t>
            </w:r>
          </w:p>
        </w:tc>
      </w:tr>
      <w:tr>
        <w:tc>
          <w:tcPr/>
          <w:p>
            <w:pPr>
              <w:pStyle w:val="Compact"/>
            </w:pPr>
            <w:r>
              <w:t xml:space="preserve">Review</w:t>
            </w:r>
          </w:p>
        </w:tc>
        <w:tc>
          <w:tcPr/>
          <w:p>
            <w:pPr>
              <w:pStyle w:val="Compact"/>
            </w:pPr>
            <w:r>
              <w:t xml:space="preserve">Review of a product, book, restaurant, film, or comparable subject</w:t>
            </w:r>
          </w:p>
        </w:tc>
      </w:tr>
      <w:tr>
        <w:tc>
          <w:tcPr/>
          <w:p>
            <w:pPr>
              <w:pStyle w:val="Compact"/>
            </w:pPr>
            <w:r>
              <w:t xml:space="preserve">Tutorial or How-to</w:t>
            </w:r>
          </w:p>
        </w:tc>
        <w:tc>
          <w:tcPr/>
          <w:p>
            <w:pPr>
              <w:pStyle w:val="Compact"/>
            </w:pPr>
            <w:r>
              <w:t xml:space="preserve">Step-by-step guide, instructional content, or recipe</w:t>
            </w:r>
          </w:p>
        </w:tc>
      </w:tr>
      <w:tr>
        <w:tc>
          <w:tcPr/>
          <w:p>
            <w:pPr>
              <w:pStyle w:val="Compact"/>
            </w:pPr>
            <w:r>
              <w:t xml:space="preserve">Press release</w:t>
            </w:r>
          </w:p>
        </w:tc>
        <w:tc>
          <w:tcPr/>
          <w:p>
            <w:pPr>
              <w:pStyle w:val="Compact"/>
            </w:pPr>
            <w:r>
              <w:t xml:space="preserve">Official announcement</w:t>
            </w:r>
          </w:p>
        </w:tc>
      </w:tr>
      <w:tr>
        <w:tc>
          <w:tcPr/>
          <w:p>
            <w:pPr>
              <w:pStyle w:val="Compact"/>
            </w:pPr>
            <w:r>
              <w:t xml:space="preserve">Article</w:t>
            </w:r>
          </w:p>
        </w:tc>
        <w:tc>
          <w:tcPr/>
          <w:p>
            <w:pPr>
              <w:pStyle w:val="Compact"/>
            </w:pPr>
            <w:r>
              <w:t xml:space="preserve">Canonical URL plus body content</w:t>
            </w:r>
          </w:p>
        </w:tc>
      </w:tr>
      <w:tr>
        <w:tc>
          <w:tcPr/>
          <w:p>
            <w:pPr>
              <w:pStyle w:val="Compact"/>
            </w:pPr>
            <w:r>
              <w:t xml:space="preserve">Post</w:t>
            </w:r>
          </w:p>
        </w:tc>
        <w:tc>
          <w:tcPr/>
          <w:p>
            <w:pPr>
              <w:pStyle w:val="Compact"/>
            </w:pPr>
            <w:r>
              <w:t xml:space="preserve">Short-form update</w:t>
            </w:r>
          </w:p>
        </w:tc>
      </w:tr>
      <w:tr>
        <w:tc>
          <w:tcPr/>
          <w:p>
            <w:pPr>
              <w:pStyle w:val="Compact"/>
            </w:pPr>
            <w:r>
              <w:t xml:space="preserve">Text post</w:t>
            </w:r>
          </w:p>
        </w:tc>
        <w:tc>
          <w:tcPr/>
          <w:p>
            <w:pPr>
              <w:pStyle w:val="Compact"/>
            </w:pPr>
            <w:r>
              <w:t xml:space="preserve">Written post or status</w:t>
            </w:r>
          </w:p>
        </w:tc>
      </w:tr>
      <w:tr>
        <w:tc>
          <w:tcPr/>
          <w:p>
            <w:pPr>
              <w:pStyle w:val="Compact"/>
            </w:pPr>
            <w:r>
              <w:t xml:space="preserve">Comment or Reply</w:t>
            </w:r>
          </w:p>
        </w:tc>
        <w:tc>
          <w:tcPr/>
          <w:p>
            <w:pPr>
              <w:pStyle w:val="Compact"/>
            </w:pPr>
            <w:r>
              <w:t xml:space="preserve">Signed reply to an article or post</w:t>
            </w:r>
          </w:p>
        </w:tc>
      </w:tr>
      <w:tr>
        <w:tc>
          <w:tcPr/>
          <w:p>
            <w:pPr>
              <w:pStyle w:val="Compact"/>
            </w:pPr>
            <w:r>
              <w:t xml:space="preserve">Image</w:t>
            </w:r>
          </w:p>
        </w:tc>
        <w:tc>
          <w:tcPr/>
          <w:p>
            <w:pPr>
              <w:pStyle w:val="Compact"/>
            </w:pPr>
            <w:r>
              <w:t xml:space="preserve">Infographic, illustration, chart, or screenshot</w:t>
            </w:r>
          </w:p>
        </w:tc>
      </w:tr>
      <w:tr>
        <w:tc>
          <w:tcPr/>
          <w:p>
            <w:pPr>
              <w:pStyle w:val="Compact"/>
            </w:pPr>
            <w:r>
              <w:t xml:space="preserve">Photo</w:t>
            </w:r>
          </w:p>
        </w:tc>
        <w:tc>
          <w:tcPr/>
          <w:p>
            <w:pPr>
              <w:pStyle w:val="Compact"/>
            </w:pPr>
            <w:r>
              <w:t xml:space="preserve">Image with caption</w:t>
            </w:r>
          </w:p>
        </w:tc>
      </w:tr>
      <w:tr>
        <w:tc>
          <w:tcPr/>
          <w:p>
            <w:pPr>
              <w:pStyle w:val="Compact"/>
            </w:pPr>
            <w:r>
              <w:t xml:space="preserve">Video</w:t>
            </w:r>
          </w:p>
        </w:tc>
        <w:tc>
          <w:tcPr/>
          <w:p>
            <w:pPr>
              <w:pStyle w:val="Compact"/>
            </w:pPr>
            <w:r>
              <w:t xml:space="preserve">Video URL with caption</w:t>
            </w:r>
          </w:p>
        </w:tc>
      </w:tr>
      <w:tr>
        <w:tc>
          <w:tcPr/>
          <w:p>
            <w:pPr>
              <w:pStyle w:val="Compact"/>
            </w:pPr>
            <w:r>
              <w:t xml:space="preserve">Livestream</w:t>
            </w:r>
          </w:p>
        </w:tc>
        <w:tc>
          <w:tcPr/>
          <w:p>
            <w:pPr>
              <w:pStyle w:val="Compact"/>
            </w:pPr>
            <w:r>
              <w:t xml:space="preserve">Live broadcast or recording</w:t>
            </w:r>
          </w:p>
        </w:tc>
      </w:tr>
      <w:tr>
        <w:tc>
          <w:tcPr/>
          <w:p>
            <w:pPr>
              <w:pStyle w:val="Compact"/>
            </w:pPr>
            <w:r>
              <w:t xml:space="preserve">Audio</w:t>
            </w:r>
          </w:p>
        </w:tc>
        <w:tc>
          <w:tcPr/>
          <w:p>
            <w:pPr>
              <w:pStyle w:val="Compact"/>
            </w:pPr>
            <w:r>
              <w:t xml:space="preserve">Audio file with title and show notes</w:t>
            </w:r>
          </w:p>
        </w:tc>
      </w:tr>
      <w:tr>
        <w:tc>
          <w:tcPr/>
          <w:p>
            <w:pPr>
              <w:pStyle w:val="Compact"/>
            </w:pPr>
            <w:r>
              <w:t xml:space="preserve">Document</w:t>
            </w:r>
          </w:p>
        </w:tc>
        <w:tc>
          <w:tcPr/>
          <w:p>
            <w:pPr>
              <w:pStyle w:val="Compact"/>
            </w:pPr>
            <w:r>
              <w:t xml:space="preserve">Document file with title and description</w:t>
            </w:r>
          </w:p>
        </w:tc>
      </w:tr>
    </w:tbl>
    <w:p>
      <w:pPr>
        <w:pStyle w:val="BodyText"/>
      </w:pPr>
      <w:r>
        <w:t xml:space="preserve">The universal taxonomy is maintained as a single source of truth</w:t>
      </w:r>
      <w:r>
        <w:t xml:space="preserve"> </w:t>
      </w:r>
      <w:r>
        <w:t xml:space="preserve">across the creator registration surfaces, the TIP browser extension,</w:t>
      </w:r>
      <w:r>
        <w:t xml:space="preserve"> </w:t>
      </w:r>
      <w:r>
        <w:t xml:space="preserve">the WordPress reference plugin, the mobile web application at</w:t>
      </w:r>
      <w:r>
        <w:t xml:space="preserve"> </w:t>
      </w:r>
      <w:r>
        <w:t xml:space="preserve">vp.theailab.org, and this whitepaper. New universal content types</w:t>
      </w:r>
      <w:r>
        <w:t xml:space="preserve"> </w:t>
      </w:r>
      <w:r>
        <w:t xml:space="preserve">are added by the AI Trust Council in accordance with the Charter.</w:t>
      </w:r>
      <w:r>
        <w:t xml:space="preserve"> </w:t>
      </w:r>
      <w:r>
        <w:t xml:space="preserve">The introduction of a new type triggers the publication of an</w:t>
      </w:r>
      <w:r>
        <w:t xml:space="preserve"> </w:t>
      </w:r>
      <w:r>
        <w:t xml:space="preserve">addendum to the canonical bytewise canonicalization rules in</w:t>
      </w:r>
      <w:r>
        <w:t xml:space="preserve"> </w:t>
      </w:r>
      <w:r>
        <w:rPr>
          <w:rStyle w:val="VerbatimChar"/>
        </w:rPr>
        <w:t xml:space="preserve">src/tip-types.js</w:t>
      </w:r>
      <w:r>
        <w:t xml:space="preserve"> </w:t>
      </w:r>
      <w:r>
        <w:t xml:space="preserve">and a corresponding amendment to the platform</w:t>
      </w:r>
      <w:r>
        <w:t xml:space="preserve"> </w:t>
      </w:r>
      <w:r>
        <w:t xml:space="preserve">registry under Section 5.2.1.</w:t>
      </w:r>
    </w:p>
    <w:p>
      <w:pPr>
        <w:pStyle w:val="BodyText"/>
      </w:pPr>
      <w:r>
        <w:t xml:space="preserve">The platform identifier is incorporated into the canonical byte</w:t>
      </w:r>
      <w:r>
        <w:t xml:space="preserve"> </w:t>
      </w:r>
      <w:r>
        <w:t xml:space="preserve">sequence as a four-character platform code and is used by subsequent</w:t>
      </w:r>
      <w:r>
        <w:t xml:space="preserve"> </w:t>
      </w:r>
      <w:r>
        <w:t xml:space="preserve">steps to select platform-specific extraction patterns.</w:t>
      </w:r>
    </w:p>
    <w:bookmarkEnd w:id="99"/>
    <w:bookmarkStart w:id="100" w:name="step-2-content-scope-extraction"/>
    <w:p>
      <w:pPr>
        <w:pStyle w:val="Heading3"/>
      </w:pPr>
      <w:r>
        <w:t xml:space="preserve">5.2.2 Step 2: Content scope extraction</w:t>
      </w:r>
    </w:p>
    <w:p>
      <w:pPr>
        <w:pStyle w:val="FirstParagraph"/>
      </w:pPr>
      <w:r>
        <w:t xml:space="preserve">The Algorithm extracts the content scope from the document. The</w:t>
      </w:r>
      <w:r>
        <w:t xml:space="preserve"> </w:t>
      </w:r>
      <w:r>
        <w:t xml:space="preserve">content scope is the portion of the document that constitutes the</w:t>
      </w:r>
      <w:r>
        <w:t xml:space="preserve"> </w:t>
      </w:r>
      <w:r>
        <w:t xml:space="preserve">content unit being signed, excluding navigation, advertising,</w:t>
      </w:r>
      <w:r>
        <w:t xml:space="preserve"> </w:t>
      </w:r>
      <w:r>
        <w:t xml:space="preserve">related-content recommendations, comment threads not part of the content</w:t>
      </w:r>
      <w:r>
        <w:t xml:space="preserve"> </w:t>
      </w:r>
      <w:r>
        <w:t xml:space="preserve">unit, and other surrounding material. Content scope extraction is</w:t>
      </w:r>
      <w:r>
        <w:t xml:space="preserve"> </w:t>
      </w:r>
      <w:r>
        <w:t xml:space="preserve">performed using platform-specific selectors maintained in the platform</w:t>
      </w:r>
      <w:r>
        <w:t xml:space="preserve"> </w:t>
      </w:r>
      <w:r>
        <w:t xml:space="preserve">registry. For platforms supporting structured semantic markup</w:t>
      </w:r>
      <w:r>
        <w:t xml:space="preserve"> </w:t>
      </w:r>
      <w:r>
        <w:t xml:space="preserve">(Schema.org, OpenGraph, JSON-LD article metadata), the markup is used as</w:t>
      </w:r>
      <w:r>
        <w:t xml:space="preserve"> </w:t>
      </w:r>
      <w:r>
        <w:t xml:space="preserve">the primary source of scope identification. For platforms not supplying</w:t>
      </w:r>
      <w:r>
        <w:t xml:space="preserve"> </w:t>
      </w:r>
      <w:r>
        <w:t xml:space="preserve">structured markup, the content scope is identified by a combination of</w:t>
      </w:r>
      <w:r>
        <w:t xml:space="preserve"> </w:t>
      </w:r>
      <w:r>
        <w:t xml:space="preserve">CSS selector and document structure heuristics.</w:t>
      </w:r>
    </w:p>
    <w:p>
      <w:pPr>
        <w:pStyle w:val="BodyText"/>
      </w:pPr>
      <w:r>
        <w:t xml:space="preserve">The content scope extraction step is the principal step at which the</w:t>
      </w:r>
      <w:r>
        <w:t xml:space="preserve"> </w:t>
      </w:r>
      <w:r>
        <w:t xml:space="preserve">protocol distinguishes between the content the signer intends to sign</w:t>
      </w:r>
      <w:r>
        <w:t xml:space="preserve"> </w:t>
      </w:r>
      <w:r>
        <w:t xml:space="preserve">and the surrounding material the signer does not intend to sign. The</w:t>
      </w:r>
      <w:r>
        <w:t xml:space="preserve"> </w:t>
      </w:r>
      <w:r>
        <w:t xml:space="preserve">deterministic extraction is essential to verifiability: a reader</w:t>
      </w:r>
      <w:r>
        <w:t xml:space="preserve"> </w:t>
      </w:r>
      <w:r>
        <w:t xml:space="preserve">performing verification recovers the same content scope from the same</w:t>
      </w:r>
      <w:r>
        <w:t xml:space="preserve"> </w:t>
      </w:r>
      <w:r>
        <w:t xml:space="preserve">document.</w:t>
      </w:r>
    </w:p>
    <w:bookmarkEnd w:id="100"/>
    <w:bookmarkStart w:id="101" w:name="step-3-structural-canonicalization"/>
    <w:p>
      <w:pPr>
        <w:pStyle w:val="Heading3"/>
      </w:pPr>
      <w:r>
        <w:t xml:space="preserve">5.2.3 Step 3: Structural canonicalization</w:t>
      </w:r>
    </w:p>
    <w:p>
      <w:pPr>
        <w:pStyle w:val="FirstParagraph"/>
      </w:pPr>
      <w:r>
        <w:t xml:space="preserve">The extracted content scope is canonicalized at the structural level.</w:t>
      </w:r>
      <w:r>
        <w:t xml:space="preserve"> </w:t>
      </w:r>
      <w:r>
        <w:t xml:space="preserve">The canonicalization comprises (a) the resolution of relative URLs to</w:t>
      </w:r>
      <w:r>
        <w:t xml:space="preserve"> </w:t>
      </w:r>
      <w:r>
        <w:t xml:space="preserve">absolute URLs, (b) the normalization of HTML element names to lowercase,</w:t>
      </w:r>
      <w:r>
        <w:t xml:space="preserve"> </w:t>
      </w:r>
      <w:r>
        <w:t xml:space="preserve">(c) the normalization of HTML attribute names to lowercase, (d) the</w:t>
      </w:r>
      <w:r>
        <w:t xml:space="preserve"> </w:t>
      </w:r>
      <w:r>
        <w:t xml:space="preserve">sorting of HTML attributes within each element in lexicographic order,</w:t>
      </w:r>
      <w:r>
        <w:t xml:space="preserve"> </w:t>
      </w:r>
      <w:r>
        <w:t xml:space="preserve">(e) the canonicalization of attribute values according to the published</w:t>
      </w:r>
      <w:r>
        <w:t xml:space="preserve"> </w:t>
      </w:r>
      <w:r>
        <w:t xml:space="preserve">rules for each attribute, (f) the removal of HTML comments, (g) the</w:t>
      </w:r>
      <w:r>
        <w:t xml:space="preserve"> </w:t>
      </w:r>
      <w:r>
        <w:t xml:space="preserve">removal of script elements and the inline scripts of HTML elements, (h)</w:t>
      </w:r>
      <w:r>
        <w:t xml:space="preserve"> </w:t>
      </w:r>
      <w:r>
        <w:t xml:space="preserve">the removal of style attributes and style elements, (i) the removal of</w:t>
      </w:r>
      <w:r>
        <w:t xml:space="preserve"> </w:t>
      </w:r>
      <w:r>
        <w:t xml:space="preserve">presentational HTML elements (font, b, i, u where used</w:t>
      </w:r>
      <w:r>
        <w:t xml:space="preserve"> </w:t>
      </w:r>
      <w:r>
        <w:t xml:space="preserve">presentationally), (j) the preservation of structural HTML elements (h1</w:t>
      </w:r>
      <w:r>
        <w:t xml:space="preserve"> </w:t>
      </w:r>
      <w:r>
        <w:t xml:space="preserve">through h6, p, ul, ol, li, blockquote, pre, code, a, img, figure,</w:t>
      </w:r>
      <w:r>
        <w:t xml:space="preserve"> </w:t>
      </w:r>
      <w:r>
        <w:t xml:space="preserve">figcaption, table, thead, tbody, tr, th, td, em, strong, cite), and (k)</w:t>
      </w:r>
      <w:r>
        <w:t xml:space="preserve"> </w:t>
      </w:r>
      <w:r>
        <w:t xml:space="preserve">the canonicalization of whitespace within text nodes to single spaces</w:t>
      </w:r>
      <w:r>
        <w:t xml:space="preserve"> </w:t>
      </w:r>
      <w:r>
        <w:t xml:space="preserve">with no leading or trailing whitespace.</w:t>
      </w:r>
    </w:p>
    <w:bookmarkEnd w:id="101"/>
    <w:bookmarkStart w:id="102" w:name="step-4-character-normalization"/>
    <w:p>
      <w:pPr>
        <w:pStyle w:val="Heading3"/>
      </w:pPr>
      <w:r>
        <w:t xml:space="preserve">5.2.4 Step 4: Character normalization</w:t>
      </w:r>
    </w:p>
    <w:p>
      <w:pPr>
        <w:pStyle w:val="FirstParagraph"/>
      </w:pPr>
      <w:r>
        <w:t xml:space="preserve">The extracted text content is normalized at the character level. The</w:t>
      </w:r>
      <w:r>
        <w:t xml:space="preserve"> </w:t>
      </w:r>
      <w:r>
        <w:t xml:space="preserve">normalization comprises (a) the application of Unicode Normalization</w:t>
      </w:r>
      <w:r>
        <w:t xml:space="preserve"> </w:t>
      </w:r>
      <w:r>
        <w:t xml:space="preserve">Form C (NFC) as specified by the Unicode Consortium in Unicode Standard</w:t>
      </w:r>
      <w:r>
        <w:t xml:space="preserve"> </w:t>
      </w:r>
      <w:r>
        <w:t xml:space="preserve">Annex 15, (b) the replacement of “smart” punctuation marks with their</w:t>
      </w:r>
      <w:r>
        <w:t xml:space="preserve"> </w:t>
      </w:r>
      <w:r>
        <w:t xml:space="preserve">canonical ASCII equivalents where the character semantics are unchanged</w:t>
      </w:r>
      <w:r>
        <w:t xml:space="preserve"> </w:t>
      </w:r>
      <w:r>
        <w:t xml:space="preserve">(curly quotes become straight quotes, ellipsis character becomes three</w:t>
      </w:r>
      <w:r>
        <w:t xml:space="preserve"> </w:t>
      </w:r>
      <w:r>
        <w:t xml:space="preserve">periods, the figure-dash character is preserved), (c) the preservation</w:t>
      </w:r>
      <w:r>
        <w:t xml:space="preserve"> </w:t>
      </w:r>
      <w:r>
        <w:t xml:space="preserve">of non-Latin script characters in their native form, (d) the</w:t>
      </w:r>
      <w:r>
        <w:t xml:space="preserve"> </w:t>
      </w:r>
      <w:r>
        <w:t xml:space="preserve">preservation of mathematical and scientific characters in their native</w:t>
      </w:r>
      <w:r>
        <w:t xml:space="preserve"> </w:t>
      </w:r>
      <w:r>
        <w:t xml:space="preserve">Unicode form, (e) the removal of zero-width and invisible control</w:t>
      </w:r>
      <w:r>
        <w:t xml:space="preserve"> </w:t>
      </w:r>
      <w:r>
        <w:t xml:space="preserve">characters (U+200B, U+200C, U+200D, U+FEFF), and (f) the consistent</w:t>
      </w:r>
      <w:r>
        <w:t xml:space="preserve"> </w:t>
      </w:r>
      <w:r>
        <w:t xml:space="preserve">treatment of combining characters and surrogate pairs.</w:t>
      </w:r>
    </w:p>
    <w:p>
      <w:pPr>
        <w:pStyle w:val="BodyText"/>
      </w:pPr>
      <w:r>
        <w:t xml:space="preserve">The character normalization is designed to be resilient to the</w:t>
      </w:r>
      <w:r>
        <w:t xml:space="preserve"> </w:t>
      </w:r>
      <w:r>
        <w:t xml:space="preserve">platform-specific substitutions that frequently occur when content is</w:t>
      </w:r>
      <w:r>
        <w:t xml:space="preserve"> </w:t>
      </w:r>
      <w:r>
        <w:t xml:space="preserve">copied between editors and platforms, while preserving the semantic</w:t>
      </w:r>
      <w:r>
        <w:t xml:space="preserve"> </w:t>
      </w:r>
      <w:r>
        <w:t xml:space="preserve">distinctions on which the content’s meaning depends.</w:t>
      </w:r>
    </w:p>
    <w:bookmarkEnd w:id="102"/>
    <w:bookmarkStart w:id="103" w:name="step-5-reference-normalization"/>
    <w:p>
      <w:pPr>
        <w:pStyle w:val="Heading3"/>
      </w:pPr>
      <w:r>
        <w:t xml:space="preserve">5.2.5 Step 5: Reference normalization</w:t>
      </w:r>
    </w:p>
    <w:p>
      <w:pPr>
        <w:pStyle w:val="FirstParagraph"/>
      </w:pPr>
      <w:r>
        <w:t xml:space="preserve">References within the content scope (hyperlinks, image references,</w:t>
      </w:r>
      <w:r>
        <w:t xml:space="preserve"> </w:t>
      </w:r>
      <w:r>
        <w:t xml:space="preserve">video references, audio references) are normalized. URLs are decomposed</w:t>
      </w:r>
      <w:r>
        <w:t xml:space="preserve"> </w:t>
      </w:r>
      <w:r>
        <w:t xml:space="preserve">into scheme, authority, path, query, and fragment components and are</w:t>
      </w:r>
      <w:r>
        <w:t xml:space="preserve"> </w:t>
      </w:r>
      <w:r>
        <w:t xml:space="preserve">reassembled in canonical form. Query parameters are sorted in</w:t>
      </w:r>
      <w:r>
        <w:t xml:space="preserve"> </w:t>
      </w:r>
      <w:r>
        <w:t xml:space="preserve">lexicographic order, with platform-specific tracking parameters removed</w:t>
      </w:r>
      <w:r>
        <w:t xml:space="preserve"> </w:t>
      </w:r>
      <w:r>
        <w:t xml:space="preserve">in accordance with the published tracking parameter registry</w:t>
      </w:r>
      <w:r>
        <w:t xml:space="preserve"> </w:t>
      </w:r>
      <w:r>
        <w:t xml:space="preserve">(utm_source, utm_medium, fbclid, gclid, mc_eid, and others identified by</w:t>
      </w:r>
      <w:r>
        <w:t xml:space="preserve"> </w:t>
      </w:r>
      <w:r>
        <w:t xml:space="preserve">the AI Trust Council on review). Fragments are preserved where the</w:t>
      </w:r>
      <w:r>
        <w:t xml:space="preserve"> </w:t>
      </w:r>
      <w:r>
        <w:t xml:space="preserve">content scope identifies the fragment as semantically meaningful, and</w:t>
      </w:r>
      <w:r>
        <w:t xml:space="preserve"> </w:t>
      </w:r>
      <w:r>
        <w:t xml:space="preserve">are removed otherwise.</w:t>
      </w:r>
    </w:p>
    <w:p>
      <w:pPr>
        <w:pStyle w:val="BodyText"/>
      </w:pPr>
      <w:r>
        <w:t xml:space="preserve">The reference normalization is designed to produce a stable</w:t>
      </w:r>
      <w:r>
        <w:t xml:space="preserve"> </w:t>
      </w:r>
      <w:r>
        <w:t xml:space="preserve">identifier for the content scope’s external references that is</w:t>
      </w:r>
      <w:r>
        <w:t xml:space="preserve"> </w:t>
      </w:r>
      <w:r>
        <w:t xml:space="preserve">insensitive to the platform’s tracking pattern but sensitive to the</w:t>
      </w:r>
      <w:r>
        <w:t xml:space="preserve"> </w:t>
      </w:r>
      <w:r>
        <w:t xml:space="preserve">substantive content of the reference.</w:t>
      </w:r>
    </w:p>
    <w:bookmarkEnd w:id="103"/>
    <w:bookmarkStart w:id="104" w:name="step-6-embedded-media-identification"/>
    <w:p>
      <w:pPr>
        <w:pStyle w:val="Heading3"/>
      </w:pPr>
      <w:r>
        <w:t xml:space="preserve">5.2.6 Step 6: Embedded media identification</w:t>
      </w:r>
    </w:p>
    <w:p>
      <w:pPr>
        <w:pStyle w:val="FirstParagraph"/>
      </w:pPr>
      <w:r>
        <w:t xml:space="preserve">Embedded media (images, audio, video) within the content scope are</w:t>
      </w:r>
      <w:r>
        <w:t xml:space="preserve"> </w:t>
      </w:r>
      <w:r>
        <w:t xml:space="preserve">identified by their three-hash content identifiers computed under the</w:t>
      </w:r>
      <w:r>
        <w:t xml:space="preserve"> </w:t>
      </w:r>
      <w:r>
        <w:t xml:space="preserve">applicable variant of CNA (CNA-IMG, CNA-AUDIO, CNA-VID). The three-hash</w:t>
      </w:r>
      <w:r>
        <w:t xml:space="preserve"> </w:t>
      </w:r>
      <w:r>
        <w:t xml:space="preserve">content identifiers are substituted for the platform-specific URLs of</w:t>
      </w:r>
      <w:r>
        <w:t xml:space="preserve"> </w:t>
      </w:r>
      <w:r>
        <w:t xml:space="preserve">the embedded media in the canonical byte sequence. The substitution</w:t>
      </w:r>
      <w:r>
        <w:t xml:space="preserve"> </w:t>
      </w:r>
      <w:r>
        <w:t xml:space="preserve">permits the signed content unit to be verified against the embedded</w:t>
      </w:r>
      <w:r>
        <w:t xml:space="preserve"> </w:t>
      </w:r>
      <w:r>
        <w:t xml:space="preserve">media independently of where the media is hosted, and permits an</w:t>
      </w:r>
      <w:r>
        <w:t xml:space="preserve"> </w:t>
      </w:r>
      <w:r>
        <w:t xml:space="preserve">embedded medium to be re-hosted on a different surface without</w:t>
      </w:r>
      <w:r>
        <w:t xml:space="preserve"> </w:t>
      </w:r>
      <w:r>
        <w:t xml:space="preserve">invalidating the signature.</w:t>
      </w:r>
    </w:p>
    <w:bookmarkEnd w:id="104"/>
    <w:bookmarkStart w:id="105" w:name="step-7-metadata-extraction"/>
    <w:p>
      <w:pPr>
        <w:pStyle w:val="Heading3"/>
      </w:pPr>
      <w:r>
        <w:t xml:space="preserve">5.2.7 Step 7: Metadata extraction</w:t>
      </w:r>
    </w:p>
    <w:p>
      <w:pPr>
        <w:pStyle w:val="FirstParagraph"/>
      </w:pPr>
      <w:r>
        <w:t xml:space="preserve">Document-level metadata is extracted. The metadata includes (a) the</w:t>
      </w:r>
      <w:r>
        <w:t xml:space="preserve"> </w:t>
      </w:r>
      <w:r>
        <w:t xml:space="preserve">title of the content unit, (b) the publication date asserted by the</w:t>
      </w:r>
      <w:r>
        <w:t xml:space="preserve"> </w:t>
      </w:r>
      <w:r>
        <w:t xml:space="preserve">publisher or the platform, (c) the language of the content unit</w:t>
      </w:r>
      <w:r>
        <w:t xml:space="preserve"> </w:t>
      </w:r>
      <w:r>
        <w:t xml:space="preserve">identified by IETF BCP 47 language tags, (d) the author identifier (in</w:t>
      </w:r>
      <w:r>
        <w:t xml:space="preserve"> </w:t>
      </w:r>
      <w:r>
        <w:t xml:space="preserve">Publisher Mode, the publisher’s CTID and the byline of the natural</w:t>
      </w:r>
      <w:r>
        <w:t xml:space="preserve"> </w:t>
      </w:r>
      <w:r>
        <w:t xml:space="preserve">author within the publication; in Creator Mode, the creator’s CTID), (e)</w:t>
      </w:r>
      <w:r>
        <w:t xml:space="preserve"> </w:t>
      </w:r>
      <w:r>
        <w:t xml:space="preserve">the canonical URL of the content unit as asserted by the publisher or</w:t>
      </w:r>
      <w:r>
        <w:t xml:space="preserve"> </w:t>
      </w:r>
      <w:r>
        <w:t xml:space="preserve">the platform, (f) the Origin Code, and (g) the version number of the</w:t>
      </w:r>
      <w:r>
        <w:t xml:space="preserve"> </w:t>
      </w:r>
      <w:r>
        <w:t xml:space="preserve">content unit as described in Section 5.5.</w:t>
      </w:r>
    </w:p>
    <w:bookmarkEnd w:id="105"/>
    <w:bookmarkStart w:id="106" w:name="step-8-serialization"/>
    <w:p>
      <w:pPr>
        <w:pStyle w:val="Heading3"/>
      </w:pPr>
      <w:r>
        <w:t xml:space="preserve">5.2.8 Step 8: Serialization</w:t>
      </w:r>
    </w:p>
    <w:p>
      <w:pPr>
        <w:pStyle w:val="FirstParagraph"/>
      </w:pPr>
      <w:r>
        <w:t xml:space="preserve">The output of steps 1 through 7 is serialized into a canonical byte</w:t>
      </w:r>
      <w:r>
        <w:t xml:space="preserve"> </w:t>
      </w:r>
      <w:r>
        <w:t xml:space="preserve">sequence. The serialization uses a deterministic JSON encoding</w:t>
      </w:r>
      <w:r>
        <w:t xml:space="preserve"> </w:t>
      </w:r>
      <w:r>
        <w:t xml:space="preserve">conformant with RFC 8785 (JSON Canonicalization Scheme). Object keys are</w:t>
      </w:r>
      <w:r>
        <w:t xml:space="preserve"> </w:t>
      </w:r>
      <w:r>
        <w:t xml:space="preserve">sorted in lexicographic order. Numbers are encoded in the canonical form</w:t>
      </w:r>
      <w:r>
        <w:t xml:space="preserve"> </w:t>
      </w:r>
      <w:r>
        <w:t xml:space="preserve">specified by RFC 8785. String values are encoded using the canonical</w:t>
      </w:r>
      <w:r>
        <w:t xml:space="preserve"> </w:t>
      </w:r>
      <w:r>
        <w:t xml:space="preserve">UTF-8 encoding. The serialized output is a deterministic byte</w:t>
      </w:r>
      <w:r>
        <w:t xml:space="preserve"> </w:t>
      </w:r>
      <w:r>
        <w:t xml:space="preserve">sequence.</w:t>
      </w:r>
    </w:p>
    <w:bookmarkEnd w:id="106"/>
    <w:bookmarkStart w:id="107" w:name="step-9-three-hash-addressing"/>
    <w:p>
      <w:pPr>
        <w:pStyle w:val="Heading3"/>
      </w:pPr>
      <w:r>
        <w:t xml:space="preserve">5.2.9 Step 9: Three-hash addressing</w:t>
      </w:r>
    </w:p>
    <w:p>
      <w:pPr>
        <w:pStyle w:val="FirstParagraph"/>
      </w:pPr>
      <w:r>
        <w:t xml:space="preserve">The canonical byte sequence produced by step 8 is the input to the</w:t>
      </w:r>
      <w:r>
        <w:t xml:space="preserve"> </w:t>
      </w:r>
      <w:r>
        <w:t xml:space="preserve">three-hash content addressing system described in Part III. SHA2-256,</w:t>
      </w:r>
      <w:r>
        <w:t xml:space="preserve"> </w:t>
      </w:r>
      <w:r>
        <w:t xml:space="preserve">SHA3-256, and BLAKE3 are computed over the canonical byte sequence. The</w:t>
      </w:r>
      <w:r>
        <w:t xml:space="preserve"> </w:t>
      </w:r>
      <w:r>
        <w:t xml:space="preserve">three hashes, taken together, constitute the content identifier of the</w:t>
      </w:r>
      <w:r>
        <w:t xml:space="preserve"> </w:t>
      </w:r>
      <w:r>
        <w:t xml:space="preserve">content unit. The content identifier is the principal artifact recorded</w:t>
      </w:r>
      <w:r>
        <w:t xml:space="preserve"> </w:t>
      </w:r>
      <w:r>
        <w:t xml:space="preserve">in the TIP-CONTENT record.</w:t>
      </w:r>
    </w:p>
    <w:bookmarkEnd w:id="107"/>
    <w:bookmarkEnd w:id="108"/>
    <w:bookmarkStart w:id="112" w:name="publisher-mode"/>
    <w:p>
      <w:pPr>
        <w:pStyle w:val="Heading2"/>
      </w:pPr>
      <w:r>
        <w:t xml:space="preserve">5.3 Publisher Mode</w:t>
      </w:r>
    </w:p>
    <w:p>
      <w:pPr>
        <w:pStyle w:val="FirstParagraph"/>
      </w:pPr>
      <w:r>
        <w:t xml:space="preserve">Publisher Mode is the operational mode in which an editorial</w:t>
      </w:r>
      <w:r>
        <w:t xml:space="preserve"> </w:t>
      </w:r>
      <w:r>
        <w:t xml:space="preserve">publishing organization signs content using a CTID held by the</w:t>
      </w:r>
      <w:r>
        <w:t xml:space="preserve"> </w:t>
      </w:r>
      <w:r>
        <w:t xml:space="preserve">organization.</w:t>
      </w:r>
    </w:p>
    <w:bookmarkStart w:id="109" w:name="X6aa4efa73831aa8cd1e8c8af4590dd1728ea2c5"/>
    <w:p>
      <w:pPr>
        <w:pStyle w:val="Heading3"/>
      </w:pPr>
      <w:r>
        <w:t xml:space="preserve">5.3.1 Architectural distinction from Creator Mode</w:t>
      </w:r>
    </w:p>
    <w:p>
      <w:pPr>
        <w:pStyle w:val="FirstParagraph"/>
      </w:pPr>
      <w:r>
        <w:t xml:space="preserve">Publisher Mode is distinguished from Creator Mode by the locus of the</w:t>
      </w:r>
      <w:r>
        <w:t xml:space="preserve"> </w:t>
      </w:r>
      <w:r>
        <w:t xml:space="preserve">signing key. In Publisher Mode, the signing key is held by the</w:t>
      </w:r>
      <w:r>
        <w:t xml:space="preserve"> </w:t>
      </w:r>
      <w:r>
        <w:t xml:space="preserve">organization, typically in a hardware security module operated by the</w:t>
      </w:r>
      <w:r>
        <w:t xml:space="preserve"> </w:t>
      </w:r>
      <w:r>
        <w:t xml:space="preserve">organization’s infrastructure team, and the act of signing is performed</w:t>
      </w:r>
      <w:r>
        <w:t xml:space="preserve"> </w:t>
      </w:r>
      <w:r>
        <w:t xml:space="preserve">by an automated process invoked by the editorial workflow. In Creator</w:t>
      </w:r>
      <w:r>
        <w:t xml:space="preserve"> </w:t>
      </w:r>
      <w:r>
        <w:t xml:space="preserve">Mode, the signing key is held by a natural person on a personal device,</w:t>
      </w:r>
      <w:r>
        <w:t xml:space="preserve"> </w:t>
      </w:r>
      <w:r>
        <w:t xml:space="preserve">and the act of signing is performed by an explicit user verification</w:t>
      </w:r>
      <w:r>
        <w:t xml:space="preserve"> </w:t>
      </w:r>
      <w:r>
        <w:t xml:space="preserve">gesture by the natural person.</w:t>
      </w:r>
    </w:p>
    <w:p>
      <w:pPr>
        <w:pStyle w:val="BodyText"/>
      </w:pPr>
      <w:r>
        <w:t xml:space="preserve">The architectural distinction is significant for three reasons.</w:t>
      </w:r>
      <w:r>
        <w:t xml:space="preserve"> </w:t>
      </w:r>
      <w:r>
        <w:t xml:space="preserve">First, the responsibility for the content’s accuracy attaches at the</w:t>
      </w:r>
      <w:r>
        <w:t xml:space="preserve"> </w:t>
      </w:r>
      <w:r>
        <w:t xml:space="preserve">level of the institution in Publisher Mode and at the level of the</w:t>
      </w:r>
      <w:r>
        <w:t xml:space="preserve"> </w:t>
      </w:r>
      <w:r>
        <w:t xml:space="preserve">natural person in Creator Mode. Second, the recovery profile differs: a</w:t>
      </w:r>
      <w:r>
        <w:t xml:space="preserve"> </w:t>
      </w:r>
      <w:r>
        <w:t xml:space="preserve">publishing organization with a compromised signing key is identifiable</w:t>
      </w:r>
      <w:r>
        <w:t xml:space="preserve"> </w:t>
      </w:r>
      <w:r>
        <w:t xml:space="preserve">as an institution and can be assisted by the issuing Verification</w:t>
      </w:r>
      <w:r>
        <w:t xml:space="preserve"> </w:t>
      </w:r>
      <w:r>
        <w:t xml:space="preserve">Provider through institutional channels; a natural person with a</w:t>
      </w:r>
      <w:r>
        <w:t xml:space="preserve"> </w:t>
      </w:r>
      <w:r>
        <w:t xml:space="preserve">compromised authenticator follows the personal recovery procedure</w:t>
      </w:r>
      <w:r>
        <w:t xml:space="preserve"> </w:t>
      </w:r>
      <w:r>
        <w:t xml:space="preserve">described in Section 4.4.3. Third, the regulatory treatment differs:</w:t>
      </w:r>
      <w:r>
        <w:t xml:space="preserve"> </w:t>
      </w:r>
      <w:r>
        <w:t xml:space="preserve">Publisher Mode signatures attach to the publication’s editorial</w:t>
      </w:r>
      <w:r>
        <w:t xml:space="preserve"> </w:t>
      </w:r>
      <w:r>
        <w:t xml:space="preserve">responsibility for the content; Creator Mode signatures attach to the</w:t>
      </w:r>
      <w:r>
        <w:t xml:space="preserve"> </w:t>
      </w:r>
      <w:r>
        <w:t xml:space="preserve">natural person.</w:t>
      </w:r>
    </w:p>
    <w:bookmarkEnd w:id="109"/>
    <w:bookmarkStart w:id="110" w:name="editorial-workflow-integration"/>
    <w:p>
      <w:pPr>
        <w:pStyle w:val="Heading3"/>
      </w:pPr>
      <w:r>
        <w:t xml:space="preserve">5.3.2 Editorial workflow integration</w:t>
      </w:r>
    </w:p>
    <w:p>
      <w:pPr>
        <w:pStyle w:val="FirstParagraph"/>
      </w:pPr>
      <w:r>
        <w:t xml:space="preserve">Publisher Mode is integrated with the editorial workflow of the</w:t>
      </w:r>
      <w:r>
        <w:t xml:space="preserve"> </w:t>
      </w:r>
      <w:r>
        <w:t xml:space="preserve">publisher. On the publisher’s editorial system marking a content unit as</w:t>
      </w:r>
      <w:r>
        <w:t xml:space="preserve"> </w:t>
      </w:r>
      <w:r>
        <w:t xml:space="preserve">ready for publication, the editorial system invokes the Publisher Mode</w:t>
      </w:r>
      <w:r>
        <w:t xml:space="preserve"> </w:t>
      </w:r>
      <w:r>
        <w:t xml:space="preserve">signing service. The signing service performs CNA-2.2 normalization on</w:t>
      </w:r>
      <w:r>
        <w:t xml:space="preserve"> </w:t>
      </w:r>
      <w:r>
        <w:t xml:space="preserve">the content unit, produces the three-hash content identifier, signs the</w:t>
      </w:r>
      <w:r>
        <w:t xml:space="preserve"> </w:t>
      </w:r>
      <w:r>
        <w:t xml:space="preserve">identifier using the publisher’s CTID private key, and publishes the</w:t>
      </w:r>
      <w:r>
        <w:t xml:space="preserve"> </w:t>
      </w:r>
      <w:r>
        <w:t xml:space="preserve">resulting TIP-CONTENT record to the federated DAG. The editorial system</w:t>
      </w:r>
      <w:r>
        <w:t xml:space="preserve"> </w:t>
      </w:r>
      <w:r>
        <w:t xml:space="preserve">records the TIP-CONTENT record’s DAG location alongside the publisher’s</w:t>
      </w:r>
      <w:r>
        <w:t xml:space="preserve"> </w:t>
      </w:r>
      <w:r>
        <w:t xml:space="preserve">record of the content unit.</w:t>
      </w:r>
    </w:p>
    <w:p>
      <w:pPr>
        <w:pStyle w:val="BodyText"/>
      </w:pPr>
      <w:r>
        <w:t xml:space="preserve">The Publisher Mode signing service is implemented by the publisher</w:t>
      </w:r>
      <w:r>
        <w:t xml:space="preserve"> </w:t>
      </w:r>
      <w:r>
        <w:t xml:space="preserve">using the reference signing library distributed by The AI Lab, by a</w:t>
      </w:r>
      <w:r>
        <w:t xml:space="preserve"> </w:t>
      </w:r>
      <w:r>
        <w:t xml:space="preserve">Commercial License vendor providing a Publisher Mode service, or by the</w:t>
      </w:r>
      <w:r>
        <w:t xml:space="preserve"> </w:t>
      </w:r>
      <w:r>
        <w:t xml:space="preserve">publisher’s own implementation conformant to the canonical TIP Protocol</w:t>
      </w:r>
      <w:r>
        <w:t xml:space="preserve"> </w:t>
      </w:r>
      <w:r>
        <w:t xml:space="preserve">Specification. The reference signing library is distributed under</w:t>
      </w:r>
      <w:r>
        <w:t xml:space="preserve"> </w:t>
      </w:r>
      <w:r>
        <w:t xml:space="preserve">TIPCL-1.0 and is available at the publisher’s TIPCL-1.0 tier.</w:t>
      </w:r>
    </w:p>
    <w:bookmarkEnd w:id="110"/>
    <w:bookmarkStart w:id="111" w:name="byline-attribution"/>
    <w:p>
      <w:pPr>
        <w:pStyle w:val="Heading3"/>
      </w:pPr>
      <w:r>
        <w:t xml:space="preserve">5.3.3 Byline attribution</w:t>
      </w:r>
    </w:p>
    <w:p>
      <w:pPr>
        <w:pStyle w:val="FirstParagraph"/>
      </w:pPr>
      <w:r>
        <w:t xml:space="preserve">Publisher Mode supports byline attribution. The Publisher Mode</w:t>
      </w:r>
      <w:r>
        <w:t xml:space="preserve"> </w:t>
      </w:r>
      <w:r>
        <w:t xml:space="preserve">signature attaches to the publisher’s CTID. Where the publication</w:t>
      </w:r>
      <w:r>
        <w:t xml:space="preserve"> </w:t>
      </w:r>
      <w:r>
        <w:t xml:space="preserve">identifies natural authors as the bylined creators of the content unit,</w:t>
      </w:r>
      <w:r>
        <w:t xml:space="preserve"> </w:t>
      </w:r>
      <w:r>
        <w:t xml:space="preserve">the publication may, in the metadata of the TIP-CONTENT record, identify</w:t>
      </w:r>
      <w:r>
        <w:t xml:space="preserve"> </w:t>
      </w:r>
      <w:r>
        <w:t xml:space="preserve">the bylined natural authors by their Creator Mode CTIDs. The</w:t>
      </w:r>
      <w:r>
        <w:t xml:space="preserve"> </w:t>
      </w:r>
      <w:r>
        <w:t xml:space="preserve">publication’s Publisher Mode signature attaches the publication’s</w:t>
      </w:r>
      <w:r>
        <w:t xml:space="preserve"> </w:t>
      </w:r>
      <w:r>
        <w:t xml:space="preserve">institutional commitment to the content; the bylined natural authors’</w:t>
      </w:r>
      <w:r>
        <w:t xml:space="preserve"> </w:t>
      </w:r>
      <w:r>
        <w:t xml:space="preserve">Creator Mode CTIDs identify the natural persons within the publication</w:t>
      </w:r>
      <w:r>
        <w:t xml:space="preserve"> </w:t>
      </w:r>
      <w:r>
        <w:t xml:space="preserve">who claim authorship.</w:t>
      </w:r>
    </w:p>
    <w:p>
      <w:pPr>
        <w:pStyle w:val="BodyText"/>
      </w:pPr>
      <w:r>
        <w:t xml:space="preserve">This dual attribution is the operational pattern for journalism: the</w:t>
      </w:r>
      <w:r>
        <w:t xml:space="preserve"> </w:t>
      </w:r>
      <w:r>
        <w:t xml:space="preserve">publication’s institutional commitment to the content is the principal</w:t>
      </w:r>
      <w:r>
        <w:t xml:space="preserve"> </w:t>
      </w:r>
      <w:r>
        <w:t xml:space="preserve">signal, and the bylined natural author is identified for purposes of</w:t>
      </w:r>
      <w:r>
        <w:t xml:space="preserve"> </w:t>
      </w:r>
      <w:r>
        <w:t xml:space="preserve">authorship credit and accountability without requiring the natural</w:t>
      </w:r>
      <w:r>
        <w:t xml:space="preserve"> </w:t>
      </w:r>
      <w:r>
        <w:t xml:space="preserve">author to operate the signing infrastructure.</w:t>
      </w:r>
    </w:p>
    <w:bookmarkEnd w:id="111"/>
    <w:bookmarkEnd w:id="112"/>
    <w:bookmarkStart w:id="116" w:name="creator-mode"/>
    <w:p>
      <w:pPr>
        <w:pStyle w:val="Heading2"/>
      </w:pPr>
      <w:r>
        <w:t xml:space="preserve">5.4 Creator Mode</w:t>
      </w:r>
    </w:p>
    <w:p>
      <w:pPr>
        <w:pStyle w:val="FirstParagraph"/>
      </w:pPr>
      <w:r>
        <w:t xml:space="preserve">Creator Mode is the operational mode in which a natural person signs</w:t>
      </w:r>
      <w:r>
        <w:t xml:space="preserve"> </w:t>
      </w:r>
      <w:r>
        <w:t xml:space="preserve">content using a CTID held by the natural person on a personal</w:t>
      </w:r>
      <w:r>
        <w:t xml:space="preserve"> </w:t>
      </w:r>
      <w:r>
        <w:t xml:space="preserve">device.</w:t>
      </w:r>
    </w:p>
    <w:bookmarkStart w:id="113" w:name="browser-extension-flow"/>
    <w:p>
      <w:pPr>
        <w:pStyle w:val="Heading3"/>
      </w:pPr>
      <w:r>
        <w:t xml:space="preserve">5.4.1 Browser extension flow</w:t>
      </w:r>
    </w:p>
    <w:p>
      <w:pPr>
        <w:pStyle w:val="FirstParagraph"/>
      </w:pPr>
      <w:r>
        <w:t xml:space="preserve">The principal Creator Mode flow at the publication of this whitepaper</w:t>
      </w:r>
      <w:r>
        <w:t xml:space="preserve"> </w:t>
      </w:r>
      <w:r>
        <w:t xml:space="preserve">is the browser extension flow. The browser extension, available for</w:t>
      </w:r>
      <w:r>
        <w:t xml:space="preserve"> </w:t>
      </w:r>
      <w:r>
        <w:t xml:space="preserve">Chrome, Firefox, Arc, and Safari, observes the user’s interaction with</w:t>
      </w:r>
      <w:r>
        <w:t xml:space="preserve"> </w:t>
      </w:r>
      <w:r>
        <w:t xml:space="preserve">platforms supporting Creator Mode (the platforms identified in the</w:t>
      </w:r>
      <w:r>
        <w:t xml:space="preserve"> </w:t>
      </w:r>
      <w:r>
        <w:t xml:space="preserve">platform registry as Creator Mode targets). On the user invoking the</w:t>
      </w:r>
      <w:r>
        <w:t xml:space="preserve"> </w:t>
      </w:r>
      <w:r>
        <w:t xml:space="preserve">extension on a content unit (typically a post the user is about to</w:t>
      </w:r>
      <w:r>
        <w:t xml:space="preserve"> </w:t>
      </w:r>
      <w:r>
        <w:t xml:space="preserve">publish), the extension performs CNA-2.2 normalization on the content</w:t>
      </w:r>
      <w:r>
        <w:t xml:space="preserve"> </w:t>
      </w:r>
      <w:r>
        <w:t xml:space="preserve">unit in the browser, presents the content identifier to the user, and</w:t>
      </w:r>
      <w:r>
        <w:t xml:space="preserve"> </w:t>
      </w:r>
      <w:r>
        <w:t xml:space="preserve">invokes the user’s WebAuthn resident key authenticator to produce a</w:t>
      </w:r>
      <w:r>
        <w:t xml:space="preserve"> </w:t>
      </w:r>
      <w:r>
        <w:t xml:space="preserve">signature. The signed TIP-CONTENT record is then published to the</w:t>
      </w:r>
      <w:r>
        <w:t xml:space="preserve"> </w:t>
      </w:r>
      <w:r>
        <w:t xml:space="preserve">federated DAG, and the platform-specific publishing action proceeds.</w:t>
      </w:r>
    </w:p>
    <w:p>
      <w:pPr>
        <w:pStyle w:val="BodyText"/>
      </w:pPr>
      <w:r>
        <w:t xml:space="preserve">The user verification gesture in Creator Mode is explicit. The</w:t>
      </w:r>
      <w:r>
        <w:t xml:space="preserve"> </w:t>
      </w:r>
      <w:r>
        <w:t xml:space="preserve">browser extension does not produce signatures without the user’s</w:t>
      </w:r>
      <w:r>
        <w:t xml:space="preserve"> </w:t>
      </w:r>
      <w:r>
        <w:t xml:space="preserve">authenticator confirming the user’s presence and (where biometric user</w:t>
      </w:r>
      <w:r>
        <w:t xml:space="preserve"> </w:t>
      </w:r>
      <w:r>
        <w:t xml:space="preserve">verification is enabled) the user’s biometric identity. The extension</w:t>
      </w:r>
      <w:r>
        <w:t xml:space="preserve"> </w:t>
      </w:r>
      <w:r>
        <w:t xml:space="preserve">does not maintain a signing session in which subsequent signatures are</w:t>
      </w:r>
      <w:r>
        <w:t xml:space="preserve"> </w:t>
      </w:r>
      <w:r>
        <w:t xml:space="preserve">produced without user verification.</w:t>
      </w:r>
    </w:p>
    <w:bookmarkEnd w:id="113"/>
    <w:bookmarkStart w:id="114" w:name="mobile-flow"/>
    <w:p>
      <w:pPr>
        <w:pStyle w:val="Heading3"/>
      </w:pPr>
      <w:r>
        <w:t xml:space="preserve">5.4.2 Mobile flow</w:t>
      </w:r>
    </w:p>
    <w:p>
      <w:pPr>
        <w:pStyle w:val="FirstParagraph"/>
      </w:pPr>
      <w:r>
        <w:t xml:space="preserve">The Creator Mode mobile flow is provided through the mobile web</w:t>
      </w:r>
      <w:r>
        <w:t xml:space="preserve"> </w:t>
      </w:r>
      <w:r>
        <w:t xml:space="preserve">application. The mobile web application is a Progressive Web Application</w:t>
      </w:r>
      <w:r>
        <w:t xml:space="preserve"> </w:t>
      </w:r>
      <w:r>
        <w:t xml:space="preserve">conformant with the W3C Web App Manifest specification, installable on</w:t>
      </w:r>
      <w:r>
        <w:t xml:space="preserve"> </w:t>
      </w:r>
      <w:r>
        <w:t xml:space="preserve">iOS, iPadOS, Android, and platform-equivalent operating systems. The</w:t>
      </w:r>
      <w:r>
        <w:t xml:space="preserve"> </w:t>
      </w:r>
      <w:r>
        <w:t xml:space="preserve">mobile flow uses the device’s platform authenticator (Touch ID, Face ID,</w:t>
      </w:r>
      <w:r>
        <w:t xml:space="preserve"> </w:t>
      </w:r>
      <w:r>
        <w:t xml:space="preserve">Android biometric authenticator) for user verification and follows the</w:t>
      </w:r>
      <w:r>
        <w:t xml:space="preserve"> </w:t>
      </w:r>
      <w:r>
        <w:t xml:space="preserve">same signing procedure as the browser extension flow.</w:t>
      </w:r>
    </w:p>
    <w:bookmarkEnd w:id="114"/>
    <w:bookmarkStart w:id="115" w:name="embedded-creator-flow"/>
    <w:p>
      <w:pPr>
        <w:pStyle w:val="Heading3"/>
      </w:pPr>
      <w:r>
        <w:t xml:space="preserve">5.4.3 Embedded creator flow</w:t>
      </w:r>
    </w:p>
    <w:p>
      <w:pPr>
        <w:pStyle w:val="FirstParagraph"/>
      </w:pPr>
      <w:r>
        <w:t xml:space="preserve">The protocol contemplates the embedding of a Creator Mode flow</w:t>
      </w:r>
      <w:r>
        <w:t xml:space="preserve"> </w:t>
      </w:r>
      <w:r>
        <w:t xml:space="preserve">directly within platforms that elect to integrate. A platform</w:t>
      </w:r>
      <w:r>
        <w:t xml:space="preserve"> </w:t>
      </w:r>
      <w:r>
        <w:t xml:space="preserve">integrating the Creator Mode flow embeds the protocol’s signing library</w:t>
      </w:r>
      <w:r>
        <w:t xml:space="preserve"> </w:t>
      </w:r>
      <w:r>
        <w:t xml:space="preserve">and supplies the user with a one-tap signing experience native to the</w:t>
      </w:r>
      <w:r>
        <w:t xml:space="preserve"> </w:t>
      </w:r>
      <w:r>
        <w:t xml:space="preserve">platform’s publishing interface. Embedded creator flow integration is</w:t>
      </w:r>
      <w:r>
        <w:t xml:space="preserve"> </w:t>
      </w:r>
      <w:r>
        <w:t xml:space="preserve">licensed under TIPCL-1.0 at the platform’s applicable Commercial Tier.</w:t>
      </w:r>
      <w:r>
        <w:t xml:space="preserve"> </w:t>
      </w:r>
      <w:r>
        <w:t xml:space="preserve">The protocol publishes a reference embedded integration for the Mastodon</w:t>
      </w:r>
      <w:r>
        <w:t xml:space="preserve"> </w:t>
      </w:r>
      <w:r>
        <w:t xml:space="preserve">and Bluesky platforms.</w:t>
      </w:r>
    </w:p>
    <w:bookmarkEnd w:id="115"/>
    <w:bookmarkEnd w:id="116"/>
    <w:bookmarkStart w:id="120" w:name="Xd80be205c79a0053bd39b6fad1567a4208d7241"/>
    <w:p>
      <w:pPr>
        <w:pStyle w:val="Heading2"/>
      </w:pPr>
      <w:r>
        <w:t xml:space="preserve">5.5 Content versioning and CONTENT_UPDATED semantics</w:t>
      </w:r>
    </w:p>
    <w:p>
      <w:pPr>
        <w:pStyle w:val="FirstParagraph"/>
      </w:pPr>
      <w:r>
        <w:t xml:space="preserve">A content unit may be modified after publication. The Trust Identity</w:t>
      </w:r>
      <w:r>
        <w:t xml:space="preserve"> </w:t>
      </w:r>
      <w:r>
        <w:t xml:space="preserve">Protocol supports content versioning through the CONTENT_UPDATED event</w:t>
      </w:r>
      <w:r>
        <w:t xml:space="preserve"> </w:t>
      </w:r>
      <w:r>
        <w:t xml:space="preserve">and the associated rules.</w:t>
      </w:r>
    </w:p>
    <w:bookmarkStart w:id="117" w:name="versioning-model"/>
    <w:p>
      <w:pPr>
        <w:pStyle w:val="Heading3"/>
      </w:pPr>
      <w:r>
        <w:t xml:space="preserve">5.5.1 Versioning model</w:t>
      </w:r>
    </w:p>
    <w:p>
      <w:pPr>
        <w:pStyle w:val="FirstParagraph"/>
      </w:pPr>
      <w:r>
        <w:t xml:space="preserve">Each TIP-CONTENT record identifies a version number. The first</w:t>
      </w:r>
      <w:r>
        <w:t xml:space="preserve"> </w:t>
      </w:r>
      <w:r>
        <w:t xml:space="preserve">publication of a content unit is recorded as version 1. A subsequent</w:t>
      </w:r>
      <w:r>
        <w:t xml:space="preserve"> </w:t>
      </w:r>
      <w:r>
        <w:t xml:space="preserve">modification is recorded as version N, where N is the next integer after</w:t>
      </w:r>
      <w:r>
        <w:t xml:space="preserve"> </w:t>
      </w:r>
      <w:r>
        <w:t xml:space="preserve">the highest existing version of the same content unit.</w:t>
      </w:r>
    </w:p>
    <w:p>
      <w:pPr>
        <w:pStyle w:val="BodyText"/>
      </w:pPr>
      <w:r>
        <w:t xml:space="preserve">A modification of a content unit may result in:</w:t>
      </w:r>
    </w:p>
    <w:p>
      <w:pPr>
        <w:numPr>
          <w:ilvl w:val="0"/>
          <w:numId w:val="1010"/>
        </w:numPr>
      </w:pPr>
      <w:r>
        <w:t xml:space="preserve">A version increment for non-substantive modifications (the</w:t>
      </w:r>
      <w:r>
        <w:t xml:space="preserve"> </w:t>
      </w:r>
      <w:r>
        <w:t xml:space="preserve">correction of typographical errors, the addition of an editor’s note,</w:t>
      </w:r>
      <w:r>
        <w:t xml:space="preserve"> </w:t>
      </w:r>
      <w:r>
        <w:t xml:space="preserve">the correction of factual misstatements with disclosure of the</w:t>
      </w:r>
      <w:r>
        <w:t xml:space="preserve"> </w:t>
      </w:r>
      <w:r>
        <w:t xml:space="preserve">correction). The CONTENT_UPDATED event records the version increment,</w:t>
      </w:r>
      <w:r>
        <w:t xml:space="preserve"> </w:t>
      </w:r>
      <w:r>
        <w:t xml:space="preserve">identifies the modification, and is signed by the original CTID. The</w:t>
      </w:r>
      <w:r>
        <w:t xml:space="preserve"> </w:t>
      </w:r>
      <w:r>
        <w:t xml:space="preserve">Trust Score is not reduced.</w:t>
      </w:r>
    </w:p>
    <w:p>
      <w:pPr>
        <w:numPr>
          <w:ilvl w:val="0"/>
          <w:numId w:val="1010"/>
        </w:numPr>
      </w:pPr>
      <w:r>
        <w:t xml:space="preserve">A version increment for substantive modifications (substantial</w:t>
      </w:r>
      <w:r>
        <w:t xml:space="preserve"> </w:t>
      </w:r>
      <w:r>
        <w:t xml:space="preserve">revisions, the addition or removal of material). The CONTENT_UPDATED</w:t>
      </w:r>
      <w:r>
        <w:t xml:space="preserve"> </w:t>
      </w:r>
      <w:r>
        <w:t xml:space="preserve">event records the version increment, identifies the modification, and is</w:t>
      </w:r>
      <w:r>
        <w:t xml:space="preserve"> </w:t>
      </w:r>
      <w:r>
        <w:t xml:space="preserve">signed by the original CTID. The Trust Score may be reduced by the</w:t>
      </w:r>
      <w:r>
        <w:t xml:space="preserve"> </w:t>
      </w:r>
      <w:r>
        <w:t xml:space="preserve">Behavioral sub-score where the modification is silent (not</w:t>
      </w:r>
      <w:r>
        <w:t xml:space="preserve"> </w:t>
      </w:r>
      <w:r>
        <w:t xml:space="preserve">disclosed).</w:t>
      </w:r>
    </w:p>
    <w:p>
      <w:pPr>
        <w:numPr>
          <w:ilvl w:val="0"/>
          <w:numId w:val="1010"/>
        </w:numPr>
      </w:pPr>
      <w:r>
        <w:t xml:space="preserve">A new content unit (a new CNA-2.2 content identifier) for</w:t>
      </w:r>
      <w:r>
        <w:t xml:space="preserve"> </w:t>
      </w:r>
      <w:r>
        <w:t xml:space="preserve">modifications so substantial that the modified content is not the same</w:t>
      </w:r>
      <w:r>
        <w:t xml:space="preserve"> </w:t>
      </w:r>
      <w:r>
        <w:t xml:space="preserve">content unit. The new content unit is recorded under a new version 1;</w:t>
      </w:r>
      <w:r>
        <w:t xml:space="preserve"> </w:t>
      </w:r>
      <w:r>
        <w:t xml:space="preserve">the original content unit may carry an UPDATED_BY pointer to the new</w:t>
      </w:r>
      <w:r>
        <w:t xml:space="preserve"> </w:t>
      </w:r>
      <w:r>
        <w:t xml:space="preserve">content unit.</w:t>
      </w:r>
    </w:p>
    <w:p>
      <w:pPr>
        <w:pStyle w:val="FirstParagraph"/>
      </w:pPr>
      <w:r>
        <w:t xml:space="preserve">The distinction between (a), (b), and (c) is made by the signer at</w:t>
      </w:r>
      <w:r>
        <w:t xml:space="preserve"> </w:t>
      </w:r>
      <w:r>
        <w:t xml:space="preserve">the time of the CONTENT_UPDATED event. The reader may inspect the signed</w:t>
      </w:r>
      <w:r>
        <w:t xml:space="preserve"> </w:t>
      </w:r>
      <w:r>
        <w:t xml:space="preserve">CONTENT_UPDATED events and may apply the reader’s own threshold for</w:t>
      </w:r>
      <w:r>
        <w:t xml:space="preserve"> </w:t>
      </w:r>
      <w:r>
        <w:t xml:space="preserve">materiality. The protocol does not adjudicate the materiality of the</w:t>
      </w:r>
      <w:r>
        <w:t xml:space="preserve"> </w:t>
      </w:r>
      <w:r>
        <w:t xml:space="preserve">modification at the moment of update; adjudication is initiated by a</w:t>
      </w:r>
      <w:r>
        <w:t xml:space="preserve"> </w:t>
      </w:r>
      <w:r>
        <w:t xml:space="preserve">disputant under the Part VI procedure.</w:t>
      </w:r>
    </w:p>
    <w:bookmarkEnd w:id="117"/>
    <w:bookmarkStart w:id="118" w:name="the-content_updated-event"/>
    <w:p>
      <w:pPr>
        <w:pStyle w:val="Heading3"/>
      </w:pPr>
      <w:r>
        <w:t xml:space="preserve">5.5.2 The CONTENT_UPDATED event</w:t>
      </w:r>
    </w:p>
    <w:p>
      <w:pPr>
        <w:pStyle w:val="FirstParagraph"/>
      </w:pPr>
      <w:r>
        <w:t xml:space="preserve">The CONTENT_UPDATED event is a signed message containing (a) the</w:t>
      </w:r>
      <w:r>
        <w:t xml:space="preserve"> </w:t>
      </w:r>
      <w:r>
        <w:t xml:space="preserve">content identifier of the prior version, (b) the content identifier of</w:t>
      </w:r>
      <w:r>
        <w:t xml:space="preserve"> </w:t>
      </w:r>
      <w:r>
        <w:t xml:space="preserve">the new version, (c) the version number, (d) the timestamp, (e) the</w:t>
      </w:r>
      <w:r>
        <w:t xml:space="preserve"> </w:t>
      </w:r>
      <w:r>
        <w:t xml:space="preserve">modification category ((a), (b), or (c) under Section 5.5.1), (f) a</w:t>
      </w:r>
      <w:r>
        <w:t xml:space="preserve"> </w:t>
      </w:r>
      <w:r>
        <w:t xml:space="preserve">human-readable note describing the modification, and (g) the signature</w:t>
      </w:r>
      <w:r>
        <w:t xml:space="preserve"> </w:t>
      </w:r>
      <w:r>
        <w:t xml:space="preserve">of the CTID. The CONTENT_UPDATED event is published to the federated</w:t>
      </w:r>
      <w:r>
        <w:t xml:space="preserve"> </w:t>
      </w:r>
      <w:r>
        <w:t xml:space="preserve">DAG.</w:t>
      </w:r>
    </w:p>
    <w:bookmarkEnd w:id="118"/>
    <w:bookmarkStart w:id="119" w:name="reader-facing-versioning"/>
    <w:p>
      <w:pPr>
        <w:pStyle w:val="Heading3"/>
      </w:pPr>
      <w:r>
        <w:t xml:space="preserve">5.5.3 Reader-facing versioning</w:t>
      </w:r>
    </w:p>
    <w:p>
      <w:pPr>
        <w:pStyle w:val="FirstParagraph"/>
      </w:pPr>
      <w:r>
        <w:t xml:space="preserve">Reader-facing surfaces (the Global Seal of Trust, the browser</w:t>
      </w:r>
      <w:r>
        <w:t xml:space="preserve"> </w:t>
      </w:r>
      <w:r>
        <w:t xml:space="preserve">extension panel, the</w:t>
      </w:r>
      <w:r>
        <w:t xml:space="preserve"> </w:t>
      </w:r>
      <w:r>
        <w:rPr>
          <w:rStyle w:val="VerbatimChar"/>
        </w:rPr>
        <w:t xml:space="preserve">&lt;tip-badge&gt;</w:t>
      </w:r>
      <w:r>
        <w:t xml:space="preserve"> </w:t>
      </w:r>
      <w:r>
        <w:t xml:space="preserve">web component)</w:t>
      </w:r>
      <w:r>
        <w:t xml:space="preserve"> </w:t>
      </w:r>
      <w:r>
        <w:t xml:space="preserve">display the version number of the content unit currently being read and</w:t>
      </w:r>
      <w:r>
        <w:t xml:space="preserve"> </w:t>
      </w:r>
      <w:r>
        <w:t xml:space="preserve">supply a link to the version history of the content unit. The version</w:t>
      </w:r>
      <w:r>
        <w:t xml:space="preserve"> </w:t>
      </w:r>
      <w:r>
        <w:t xml:space="preserve">history allows the reader to inspect the modifications made to the</w:t>
      </w:r>
      <w:r>
        <w:t xml:space="preserve"> </w:t>
      </w:r>
      <w:r>
        <w:t xml:space="preserve">content unit since its original publication.</w:t>
      </w:r>
    </w:p>
    <w:bookmarkEnd w:id="119"/>
    <w:bookmarkEnd w:id="120"/>
    <w:bookmarkStart w:id="126" w:name="origin-codes"/>
    <w:p>
      <w:pPr>
        <w:pStyle w:val="Heading2"/>
      </w:pPr>
      <w:r>
        <w:t xml:space="preserve">5.6 Origin Codes</w:t>
      </w:r>
    </w:p>
    <w:p>
      <w:pPr>
        <w:pStyle w:val="FirstParagraph"/>
      </w:pPr>
      <w:r>
        <w:t xml:space="preserve">The Trust Identity Protocol assigns to each TIP-CONTENT record an</w:t>
      </w:r>
      <w:r>
        <w:t xml:space="preserve"> </w:t>
      </w:r>
      <w:r>
        <w:t xml:space="preserve">Origin Code identifying the provenance category of the content unit. The</w:t>
      </w:r>
      <w:r>
        <w:t xml:space="preserve"> </w:t>
      </w:r>
      <w:r>
        <w:t xml:space="preserve">Origin Code is a two-character mnemonic recorded in the metadata of the</w:t>
      </w:r>
      <w:r>
        <w:t xml:space="preserve"> </w:t>
      </w:r>
      <w:r>
        <w:t xml:space="preserve">TIP-CONTENT record and presented to the reader through the reader-facing</w:t>
      </w:r>
      <w:r>
        <w:t xml:space="preserve"> </w:t>
      </w:r>
      <w:r>
        <w:t xml:space="preserve">badge.</w:t>
      </w:r>
    </w:p>
    <w:bookmarkStart w:id="121" w:name="oh-original-human"/>
    <w:p>
      <w:pPr>
        <w:pStyle w:val="Heading3"/>
      </w:pPr>
      <w:r>
        <w:t xml:space="preserve">5.6.1 OH: Original Human</w:t>
      </w:r>
    </w:p>
    <w:p>
      <w:pPr>
        <w:pStyle w:val="FirstParagraph"/>
      </w:pPr>
      <w:r>
        <w:t xml:space="preserve">Origin Code OH is assigned to a content unit produced by a natural</w:t>
      </w:r>
      <w:r>
        <w:t xml:space="preserve"> </w:t>
      </w:r>
      <w:r>
        <w:t xml:space="preserve">human person, without the substantive participation of an artificial</w:t>
      </w:r>
      <w:r>
        <w:t xml:space="preserve"> </w:t>
      </w:r>
      <w:r>
        <w:t xml:space="preserve">intelligence model in the production of the content. Routine assistance</w:t>
      </w:r>
      <w:r>
        <w:t xml:space="preserve"> </w:t>
      </w:r>
      <w:r>
        <w:t xml:space="preserve">from spellchecking, grammar suggestion, and other tools that do not</w:t>
      </w:r>
      <w:r>
        <w:t xml:space="preserve"> </w:t>
      </w:r>
      <w:r>
        <w:t xml:space="preserve">constitute the substantive production of content does not preclude the</w:t>
      </w:r>
      <w:r>
        <w:t xml:space="preserve"> </w:t>
      </w:r>
      <w:r>
        <w:t xml:space="preserve">assignment of OH.</w:t>
      </w:r>
    </w:p>
    <w:p>
      <w:pPr>
        <w:pStyle w:val="BodyText"/>
      </w:pPr>
      <w:r>
        <w:t xml:space="preserve">The OH origin code is the principal origin code for journalistic</w:t>
      </w:r>
      <w:r>
        <w:t xml:space="preserve"> </w:t>
      </w:r>
      <w:r>
        <w:t xml:space="preserve">content produced by named natural journalists, for academic work, for</w:t>
      </w:r>
      <w:r>
        <w:t xml:space="preserve"> </w:t>
      </w:r>
      <w:r>
        <w:t xml:space="preserve">personal communication, and for any content produced by a natural person</w:t>
      </w:r>
      <w:r>
        <w:t xml:space="preserve"> </w:t>
      </w:r>
      <w:r>
        <w:t xml:space="preserve">without substantive AI participation.</w:t>
      </w:r>
    </w:p>
    <w:bookmarkEnd w:id="121"/>
    <w:bookmarkStart w:id="122" w:name="aa-ai-assisted"/>
    <w:p>
      <w:pPr>
        <w:pStyle w:val="Heading3"/>
      </w:pPr>
      <w:r>
        <w:t xml:space="preserve">5.6.2 AA: AI-Assisted</w:t>
      </w:r>
    </w:p>
    <w:p>
      <w:pPr>
        <w:pStyle w:val="FirstParagraph"/>
      </w:pPr>
      <w:r>
        <w:t xml:space="preserve">Origin Code AA is assigned to a content unit produced by a natural</w:t>
      </w:r>
      <w:r>
        <w:t xml:space="preserve"> </w:t>
      </w:r>
      <w:r>
        <w:t xml:space="preserve">human person with the substantive assistance of an artificial</w:t>
      </w:r>
      <w:r>
        <w:t xml:space="preserve"> </w:t>
      </w:r>
      <w:r>
        <w:t xml:space="preserve">intelligence model, in a manner in which the natural human person</w:t>
      </w:r>
      <w:r>
        <w:t xml:space="preserve"> </w:t>
      </w:r>
      <w:r>
        <w:t xml:space="preserve">remains the principal author and exercises editorial judgment over the</w:t>
      </w:r>
      <w:r>
        <w:t xml:space="preserve"> </w:t>
      </w:r>
      <w:r>
        <w:t xml:space="preserve">final content. Examples include a journalist using an AI model to</w:t>
      </w:r>
      <w:r>
        <w:t xml:space="preserve"> </w:t>
      </w:r>
      <w:r>
        <w:t xml:space="preserve">summarize a long document, a novelist using an AI model to suggest</w:t>
      </w:r>
      <w:r>
        <w:t xml:space="preserve"> </w:t>
      </w:r>
      <w:r>
        <w:t xml:space="preserve">variations of a passage, a researcher using an AI model to draft a</w:t>
      </w:r>
      <w:r>
        <w:t xml:space="preserve"> </w:t>
      </w:r>
      <w:r>
        <w:t xml:space="preserve">literature review subsequently substantively edited by the</w:t>
      </w:r>
      <w:r>
        <w:t xml:space="preserve"> </w:t>
      </w:r>
      <w:r>
        <w:t xml:space="preserve">researcher.</w:t>
      </w:r>
    </w:p>
    <w:p>
      <w:pPr>
        <w:pStyle w:val="BodyText"/>
      </w:pPr>
      <w:r>
        <w:t xml:space="preserve">The AA origin code identifies content whose authorship is hybrid and</w:t>
      </w:r>
      <w:r>
        <w:t xml:space="preserve"> </w:t>
      </w:r>
      <w:r>
        <w:t xml:space="preserve">supports the disclosure interest of the reader. The Trust Score does not</w:t>
      </w:r>
      <w:r>
        <w:t xml:space="preserve"> </w:t>
      </w:r>
      <w:r>
        <w:t xml:space="preserve">penalize the AA origin code as such; the score reflects the behavioral</w:t>
      </w:r>
      <w:r>
        <w:t xml:space="preserve"> </w:t>
      </w:r>
      <w:r>
        <w:t xml:space="preserve">history of the signer.</w:t>
      </w:r>
    </w:p>
    <w:bookmarkEnd w:id="122"/>
    <w:bookmarkStart w:id="123" w:name="ag-ai-generated"/>
    <w:p>
      <w:pPr>
        <w:pStyle w:val="Heading3"/>
      </w:pPr>
      <w:r>
        <w:t xml:space="preserve">5.6.3 AG: AI-Generated</w:t>
      </w:r>
    </w:p>
    <w:p>
      <w:pPr>
        <w:pStyle w:val="FirstParagraph"/>
      </w:pPr>
      <w:r>
        <w:t xml:space="preserve">Origin Code AG is assigned to a content unit produced by an</w:t>
      </w:r>
      <w:r>
        <w:t xml:space="preserve"> </w:t>
      </w:r>
      <w:r>
        <w:t xml:space="preserve">artificial intelligence model, including content produced without human</w:t>
      </w:r>
      <w:r>
        <w:t xml:space="preserve"> </w:t>
      </w:r>
      <w:r>
        <w:t xml:space="preserve">authorial intervention and content produced under prompts so general</w:t>
      </w:r>
      <w:r>
        <w:t xml:space="preserve"> </w:t>
      </w:r>
      <w:r>
        <w:t xml:space="preserve">that the model’s output is the principal authorial contribution. The AG</w:t>
      </w:r>
      <w:r>
        <w:t xml:space="preserve"> </w:t>
      </w:r>
      <w:r>
        <w:t xml:space="preserve">origin code identifies content that is, in substance, generated by a</w:t>
      </w:r>
      <w:r>
        <w:t xml:space="preserve"> </w:t>
      </w:r>
      <w:r>
        <w:t xml:space="preserve">model.</w:t>
      </w:r>
    </w:p>
    <w:p>
      <w:pPr>
        <w:pStyle w:val="BodyText"/>
      </w:pPr>
      <w:r>
        <w:t xml:space="preserve">The AG origin code is the principal origin code for content to which</w:t>
      </w:r>
      <w:r>
        <w:t xml:space="preserve"> </w:t>
      </w:r>
      <w:r>
        <w:t xml:space="preserve">Article 50(2) of the EU AI Act applies and to which analogous disclosure</w:t>
      </w:r>
      <w:r>
        <w:t xml:space="preserve"> </w:t>
      </w:r>
      <w:r>
        <w:t xml:space="preserve">obligations in other jurisdictions apply. A platform displaying a</w:t>
      </w:r>
      <w:r>
        <w:t xml:space="preserve"> </w:t>
      </w:r>
      <w:r>
        <w:t xml:space="preserve">content unit with the AG origin code is supplied, by the protocol, with</w:t>
      </w:r>
      <w:r>
        <w:t xml:space="preserve"> </w:t>
      </w:r>
      <w:r>
        <w:t xml:space="preserve">the machine-readable marking necessary to satisfy the platform’s Article</w:t>
      </w:r>
      <w:r>
        <w:t xml:space="preserve"> </w:t>
      </w:r>
      <w:r>
        <w:t xml:space="preserve">50 obligations.</w:t>
      </w:r>
    </w:p>
    <w:bookmarkEnd w:id="123"/>
    <w:bookmarkStart w:id="124" w:name="mx-mixed"/>
    <w:p>
      <w:pPr>
        <w:pStyle w:val="Heading3"/>
      </w:pPr>
      <w:r>
        <w:t xml:space="preserve">5.6.4 MX: Mixed</w:t>
      </w:r>
    </w:p>
    <w:p>
      <w:pPr>
        <w:pStyle w:val="FirstParagraph"/>
      </w:pPr>
      <w:r>
        <w:t xml:space="preserve">Origin Code MX is assigned to a content unit comprising substantively</w:t>
      </w:r>
      <w:r>
        <w:t xml:space="preserve"> </w:t>
      </w:r>
      <w:r>
        <w:t xml:space="preserve">different origin categories within the same content unit. A documentary</w:t>
      </w:r>
      <w:r>
        <w:t xml:space="preserve"> </w:t>
      </w:r>
      <w:r>
        <w:t xml:space="preserve">video comprising a journalist’s narration over AI-generated B-roll, an</w:t>
      </w:r>
      <w:r>
        <w:t xml:space="preserve"> </w:t>
      </w:r>
      <w:r>
        <w:t xml:space="preserve">essay comprising natural-person original text and AI-generated</w:t>
      </w:r>
      <w:r>
        <w:t xml:space="preserve"> </w:t>
      </w:r>
      <w:r>
        <w:t xml:space="preserve">illustrations, or an article comprising a natural-person editorial frame</w:t>
      </w:r>
      <w:r>
        <w:t xml:space="preserve"> </w:t>
      </w:r>
      <w:r>
        <w:t xml:space="preserve">around an AI-generated dialogue are examples of MX content.</w:t>
      </w:r>
    </w:p>
    <w:p>
      <w:pPr>
        <w:pStyle w:val="BodyText"/>
      </w:pPr>
      <w:r>
        <w:t xml:space="preserve">The MX origin code identifies content in which the disclosure of the</w:t>
      </w:r>
      <w:r>
        <w:t xml:space="preserve"> </w:t>
      </w:r>
      <w:r>
        <w:t xml:space="preserve">origin requires granularity beyond the single content unit. The</w:t>
      </w:r>
      <w:r>
        <w:t xml:space="preserve"> </w:t>
      </w:r>
      <w:r>
        <w:t xml:space="preserve">reader-facing badge, when displaying the MX origin code, supplies the</w:t>
      </w:r>
      <w:r>
        <w:t xml:space="preserve"> </w:t>
      </w:r>
      <w:r>
        <w:t xml:space="preserve">reader with a link to the granular Origin Code map of the content unit,</w:t>
      </w:r>
      <w:r>
        <w:t xml:space="preserve"> </w:t>
      </w:r>
      <w:r>
        <w:t xml:space="preserve">identifying which portions are OH, AA, or AG.</w:t>
      </w:r>
    </w:p>
    <w:bookmarkEnd w:id="124"/>
    <w:bookmarkStart w:id="125" w:name="selection-of-the-origin-code"/>
    <w:p>
      <w:pPr>
        <w:pStyle w:val="Heading3"/>
      </w:pPr>
      <w:r>
        <w:t xml:space="preserve">5.6.5 Selection of the Origin Code</w:t>
      </w:r>
    </w:p>
    <w:p>
      <w:pPr>
        <w:pStyle w:val="FirstParagraph"/>
      </w:pPr>
      <w:r>
        <w:t xml:space="preserve">The Origin Code is selected by the signer at the time of signing. The</w:t>
      </w:r>
      <w:r>
        <w:t xml:space="preserve"> </w:t>
      </w:r>
      <w:r>
        <w:t xml:space="preserve">signer’s selection reflects the signer’s representation of the origin of</w:t>
      </w:r>
      <w:r>
        <w:t xml:space="preserve"> </w:t>
      </w:r>
      <w:r>
        <w:t xml:space="preserve">the content unit. A false Origin Code selection (assigning OH to a</w:t>
      </w:r>
      <w:r>
        <w:t xml:space="preserve"> </w:t>
      </w:r>
      <w:r>
        <w:t xml:space="preserve">content unit that is, in substance, AG) is a misrepresentation</w:t>
      </w:r>
      <w:r>
        <w:t xml:space="preserve"> </w:t>
      </w:r>
      <w:r>
        <w:t xml:space="preserve">actionable under the Trust Score’s Adjudicated sub-score and may, on</w:t>
      </w:r>
      <w:r>
        <w:t xml:space="preserve"> </w:t>
      </w:r>
      <w:r>
        <w:t xml:space="preserve">adjudication, result in the suspension or revocation of the CTID. The</w:t>
      </w:r>
      <w:r>
        <w:t xml:space="preserve"> </w:t>
      </w:r>
      <w:r>
        <w:t xml:space="preserve">Origin Code’s reliability rests on the institutional commitment of the</w:t>
      </w:r>
      <w:r>
        <w:t xml:space="preserve"> </w:t>
      </w:r>
      <w:r>
        <w:t xml:space="preserve">signer and the reputational consequences of misrepresentation, not on a</w:t>
      </w:r>
      <w:r>
        <w:t xml:space="preserve"> </w:t>
      </w:r>
      <w:r>
        <w:t xml:space="preserve">model-based detection of synthetic content. The protocol does not</w:t>
      </w:r>
      <w:r>
        <w:t xml:space="preserve"> </w:t>
      </w:r>
      <w:r>
        <w:t xml:space="preserve">displace synthetic content detection technology; the protocol supplies a</w:t>
      </w:r>
      <w:r>
        <w:t xml:space="preserve"> </w:t>
      </w:r>
      <w:r>
        <w:t xml:space="preserve">signed representation by the responsible party concerning the</w:t>
      </w:r>
      <w:r>
        <w:t xml:space="preserve"> </w:t>
      </w:r>
      <w:r>
        <w:t xml:space="preserve">origin.</w:t>
      </w:r>
    </w:p>
    <w:bookmarkEnd w:id="125"/>
    <w:bookmarkEnd w:id="126"/>
    <w:bookmarkStart w:id="130" w:name="Xcb3da6048b18239b8a9a9fdd58051c29fe80ebb"/>
    <w:p>
      <w:pPr>
        <w:pStyle w:val="Heading2"/>
      </w:pPr>
      <w:r>
        <w:t xml:space="preserve">5.7 Signature payload format and reference packet</w:t>
      </w:r>
    </w:p>
    <w:p>
      <w:pPr>
        <w:pStyle w:val="FirstParagraph"/>
      </w:pPr>
      <w:r>
        <w:t xml:space="preserve">The TIP-CONTENT record is structured as a signed payload conformant</w:t>
      </w:r>
      <w:r>
        <w:t xml:space="preserve"> </w:t>
      </w:r>
      <w:r>
        <w:t xml:space="preserve">with a defined wire format. The format is normative and is the basis on</w:t>
      </w:r>
      <w:r>
        <w:t xml:space="preserve"> </w:t>
      </w:r>
      <w:r>
        <w:t xml:space="preserve">which verifiers, archivers, and platforms interoperate.</w:t>
      </w:r>
    </w:p>
    <w:bookmarkStart w:id="127" w:name="payload-structure"/>
    <w:p>
      <w:pPr>
        <w:pStyle w:val="Heading3"/>
      </w:pPr>
      <w:r>
        <w:t xml:space="preserve">5.7.1 Payload structure</w:t>
      </w:r>
    </w:p>
    <w:p>
      <w:pPr>
        <w:pStyle w:val="FirstParagraph"/>
      </w:pPr>
      <w:r>
        <w:t xml:space="preserve">The TIP-CONTENT record comprises three sections.</w:t>
      </w:r>
    </w:p>
    <w:p>
      <w:pPr>
        <w:pStyle w:val="BodyText"/>
      </w:pPr>
      <w:r>
        <w:rPr>
          <w:b/>
          <w:bCs/>
        </w:rPr>
        <w:t xml:space="preserve">The header section.</w:t>
      </w:r>
      <w:r>
        <w:t xml:space="preserve"> </w:t>
      </w:r>
      <w:r>
        <w:t xml:space="preserve">The header identifies the</w:t>
      </w:r>
      <w:r>
        <w:t xml:space="preserve"> </w:t>
      </w:r>
      <w:r>
        <w:t xml:space="preserve">protocol version, the CNA variant used (CNA-2.2, CNA-IMG, CNA-VID,</w:t>
      </w:r>
      <w:r>
        <w:t xml:space="preserve"> </w:t>
      </w:r>
      <w:r>
        <w:t xml:space="preserve">CNA-AUDIO), the signature scheme (ML-DSA-65, optional</w:t>
      </w:r>
      <w:r>
        <w:t xml:space="preserve"> </w:t>
      </w:r>
      <w:r>
        <w:t xml:space="preserve">SLH-DSA-SHA2-192s), the CTID of the signer, and the Origin Code.</w:t>
      </w:r>
    </w:p>
    <w:p>
      <w:pPr>
        <w:pStyle w:val="BodyText"/>
      </w:pPr>
      <w:r>
        <w:rPr>
          <w:b/>
          <w:bCs/>
        </w:rPr>
        <w:t xml:space="preserve">The body section.</w:t>
      </w:r>
      <w:r>
        <w:t xml:space="preserve"> </w:t>
      </w:r>
      <w:r>
        <w:t xml:space="preserve">The body contains the three-hash</w:t>
      </w:r>
      <w:r>
        <w:t xml:space="preserve"> </w:t>
      </w:r>
      <w:r>
        <w:t xml:space="preserve">content identifier, the canonical URL, the platform identifier, the</w:t>
      </w:r>
      <w:r>
        <w:t xml:space="preserve"> </w:t>
      </w:r>
      <w:r>
        <w:t xml:space="preserve">metadata (title, publication date, language, byline, version number),</w:t>
      </w:r>
      <w:r>
        <w:t xml:space="preserve"> </w:t>
      </w:r>
      <w:r>
        <w:t xml:space="preserve">and (where the version number is greater than one) the content</w:t>
      </w:r>
      <w:r>
        <w:t xml:space="preserve"> </w:t>
      </w:r>
      <w:r>
        <w:t xml:space="preserve">identifier of the prior version and the modification category.</w:t>
      </w:r>
    </w:p>
    <w:p>
      <w:pPr>
        <w:pStyle w:val="BodyText"/>
      </w:pPr>
      <w:r>
        <w:rPr>
          <w:b/>
          <w:bCs/>
        </w:rPr>
        <w:t xml:space="preserve">The signature section.</w:t>
      </w:r>
      <w:r>
        <w:t xml:space="preserve"> </w:t>
      </w:r>
      <w:r>
        <w:t xml:space="preserve">The signature is the</w:t>
      </w:r>
      <w:r>
        <w:t xml:space="preserve"> </w:t>
      </w:r>
      <w:r>
        <w:t xml:space="preserve">ML-DSA-65 signature of the concatenation of the header section and the</w:t>
      </w:r>
      <w:r>
        <w:t xml:space="preserve"> </w:t>
      </w:r>
      <w:r>
        <w:t xml:space="preserve">body section, computed by the signer using the private key associated</w:t>
      </w:r>
      <w:r>
        <w:t xml:space="preserve"> </w:t>
      </w:r>
      <w:r>
        <w:t xml:space="preserve">with the CTID. Where the SLH-DSA-SHA2-192s signature is also applied,</w:t>
      </w:r>
      <w:r>
        <w:t xml:space="preserve"> </w:t>
      </w:r>
      <w:r>
        <w:t xml:space="preserve">the signature section contains both signatures.</w:t>
      </w:r>
    </w:p>
    <w:bookmarkEnd w:id="127"/>
    <w:bookmarkStart w:id="128" w:name="wire-format"/>
    <w:p>
      <w:pPr>
        <w:pStyle w:val="Heading3"/>
      </w:pPr>
      <w:r>
        <w:t xml:space="preserve">5.7.2 Wire format</w:t>
      </w:r>
    </w:p>
    <w:p>
      <w:pPr>
        <w:pStyle w:val="FirstParagraph"/>
      </w:pPr>
      <w:r>
        <w:t xml:space="preserve">The wire format is a deterministic JSON serialization conformant with</w:t>
      </w:r>
      <w:r>
        <w:t xml:space="preserve"> </w:t>
      </w:r>
      <w:r>
        <w:t xml:space="preserve">RFC 8785, with binary fields (content identifiers, public keys,</w:t>
      </w:r>
      <w:r>
        <w:t xml:space="preserve"> </w:t>
      </w:r>
      <w:r>
        <w:t xml:space="preserve">signatures) base64-encoded. The wire format is the format published to</w:t>
      </w:r>
      <w:r>
        <w:t xml:space="preserve"> </w:t>
      </w:r>
      <w:r>
        <w:t xml:space="preserve">the federated DAG and the format consumed by readers, platforms, and</w:t>
      </w:r>
      <w:r>
        <w:t xml:space="preserve"> </w:t>
      </w:r>
      <w:r>
        <w:t xml:space="preserve">archivers.</w:t>
      </w:r>
    </w:p>
    <w:bookmarkEnd w:id="128"/>
    <w:bookmarkStart w:id="129" w:name="reference-packet"/>
    <w:p>
      <w:pPr>
        <w:pStyle w:val="Heading3"/>
      </w:pPr>
      <w:r>
        <w:t xml:space="preserve">5.7.3 Reference packet</w:t>
      </w:r>
    </w:p>
    <w:p>
      <w:pPr>
        <w:pStyle w:val="FirstParagraph"/>
      </w:pPr>
      <w:r>
        <w:t xml:space="preserve">The “reference packet” is the canonical exemplar of a TIP-CONTENT</w:t>
      </w:r>
      <w:r>
        <w:t xml:space="preserve"> </w:t>
      </w:r>
      <w:r>
        <w:t xml:space="preserve">record, used in documentation and in the protocol’s test vector suite. A</w:t>
      </w:r>
      <w:r>
        <w:t xml:space="preserve"> </w:t>
      </w:r>
      <w:r>
        <w:t xml:space="preserve">reference packet for each Origin Code, each CNA variant, and each</w:t>
      </w:r>
      <w:r>
        <w:t xml:space="preserve"> </w:t>
      </w:r>
      <w:r>
        <w:t xml:space="preserve">operational mode (Publisher Mode and Creator Mode) is published in</w:t>
      </w:r>
      <w:r>
        <w:t xml:space="preserve"> </w:t>
      </w:r>
      <w:r>
        <w:t xml:space="preserve">Appendix D and in the canonical Specification’s test vector directory. A</w:t>
      </w:r>
      <w:r>
        <w:t xml:space="preserve"> </w:t>
      </w:r>
      <w:r>
        <w:t xml:space="preserve">conformant implementation reproduces the reference packet content</w:t>
      </w:r>
      <w:r>
        <w:t xml:space="preserve"> </w:t>
      </w:r>
      <w:r>
        <w:t xml:space="preserve">identifier given the reference packet input.</w:t>
      </w:r>
    </w:p>
    <w:p>
      <w:r>
        <w:pict>
          <v:rect style="width:0;height:1.5pt" o:hralign="center" o:hrstd="t" o:hr="t"/>
        </w:pict>
      </w:r>
    </w:p>
    <w:p>
      <w:pPr>
        <w:pStyle w:val="FirstParagraph"/>
      </w:pPr>
      <w:r>
        <w:rPr>
          <w:b/>
          <w:bCs/>
        </w:rPr>
        <w:t xml:space="preserve">Contact The AI Lab regarding Part V</w:t>
      </w:r>
    </w:p>
    <w:p>
      <w:pPr>
        <w:pStyle w:val="BodyText"/>
      </w:pPr>
      <w:r>
        <w:t xml:space="preserve">Technical Inquiries:</w:t>
      </w:r>
      <w:r>
        <w:t xml:space="preserve"> </w:t>
      </w:r>
      <w:r>
        <w:rPr>
          <w:rStyle w:val="VerbatimChar"/>
        </w:rPr>
        <w:t xml:space="preserve">tip@theailab.org</w:t>
      </w:r>
      <w:r>
        <w:t xml:space="preserve"> </w:t>
      </w:r>
      <w:r>
        <w:t xml:space="preserve">Conformance</w:t>
      </w:r>
      <w:r>
        <w:t xml:space="preserve"> </w:t>
      </w:r>
      <w:r>
        <w:t xml:space="preserve">Inquiries:</w:t>
      </w:r>
      <w:r>
        <w:t xml:space="preserve"> </w:t>
      </w:r>
      <w:r>
        <w:rPr>
          <w:rStyle w:val="VerbatimChar"/>
        </w:rPr>
        <w:t xml:space="preserve">compliance@theailab.org</w:t>
      </w:r>
      <w:r>
        <w:t xml:space="preserve"> </w:t>
      </w:r>
      <w:r>
        <w:t xml:space="preserve">Standards Engagement:</w:t>
      </w:r>
      <w:r>
        <w:t xml:space="preserve"> </w:t>
      </w:r>
      <w:r>
        <w:rPr>
          <w:rStyle w:val="VerbatimChar"/>
        </w:rPr>
        <w:t xml:space="preserve">standards@theailab.org</w:t>
      </w:r>
    </w:p>
    <w:p>
      <w:pPr>
        <w:pStyle w:val="BodyText"/>
      </w:pPr>
      <w:r>
        <w:t xml:space="preserve">The AI Lab Intelligence Unobscured, Inc. Wilmington, Delaware, United</w:t>
      </w:r>
      <w:r>
        <w:t xml:space="preserve"> </w:t>
      </w:r>
      <w:r>
        <w:t xml:space="preserve">States.</w:t>
      </w:r>
    </w:p>
    <w:bookmarkEnd w:id="129"/>
    <w:bookmarkEnd w:id="130"/>
    <w:bookmarkEnd w:id="131"/>
    <w:bookmarkStart w:id="151" w:name="part-vi-tip-trust-reputation-layer"/>
    <w:p>
      <w:pPr>
        <w:pStyle w:val="Heading1"/>
      </w:pPr>
      <w:r>
        <w:t xml:space="preserve">Part VI: TIP-TRUST: Reputation Layer</w:t>
      </w:r>
    </w:p>
    <w:p>
      <w:pPr>
        <w:pStyle w:val="FirstParagraph"/>
      </w:pPr>
      <w:r>
        <w:t xml:space="preserve">This Part describes the reputation layer of the Trust Identity</w:t>
      </w:r>
      <w:r>
        <w:t xml:space="preserve"> </w:t>
      </w:r>
      <w:r>
        <w:t xml:space="preserve">Protocol. The reputation layer comprises the Trust Score, its four</w:t>
      </w:r>
      <w:r>
        <w:t xml:space="preserve"> </w:t>
      </w:r>
      <w:r>
        <w:t xml:space="preserve">constituent sub-scores, the rules by which the sub-scores are</w:t>
      </w:r>
      <w:r>
        <w:t xml:space="preserve"> </w:t>
      </w:r>
      <w:r>
        <w:t xml:space="preserve">aggregated, the Blocking Items that suspend or revoke the operational</w:t>
      </w:r>
      <w:r>
        <w:t xml:space="preserve"> </w:t>
      </w:r>
      <w:r>
        <w:t xml:space="preserve">utility of a CTID, the bonded jury adjudication procedure, the appeals</w:t>
      </w:r>
      <w:r>
        <w:t xml:space="preserve"> </w:t>
      </w:r>
      <w:r>
        <w:t xml:space="preserve">process, the reader-facing display modes, and the Global Seal of Trust.</w:t>
      </w:r>
      <w:r>
        <w:t xml:space="preserve"> </w:t>
      </w:r>
      <w:r>
        <w:t xml:space="preserve">The reputation layer translates the cryptographically verified identity</w:t>
      </w:r>
      <w:r>
        <w:t xml:space="preserve"> </w:t>
      </w:r>
      <w:r>
        <w:t xml:space="preserve">and content provenance of the lower layers into a numeric signal a</w:t>
      </w:r>
      <w:r>
        <w:t xml:space="preserve"> </w:t>
      </w:r>
      <w:r>
        <w:t xml:space="preserve">reader, a platform, or a regulator can act on.</w:t>
      </w:r>
    </w:p>
    <w:bookmarkStart w:id="132" w:name="the-trust-score"/>
    <w:p>
      <w:pPr>
        <w:pStyle w:val="Heading2"/>
      </w:pPr>
      <w:r>
        <w:t xml:space="preserve">6.1 The Trust Score</w:t>
      </w:r>
    </w:p>
    <w:p>
      <w:pPr>
        <w:pStyle w:val="FirstParagraph"/>
      </w:pPr>
      <w:r>
        <w:t xml:space="preserve">The Trust Score is the principal reputation artifact of the protocol.</w:t>
      </w:r>
      <w:r>
        <w:t xml:space="preserve"> </w:t>
      </w:r>
      <w:r>
        <w:t xml:space="preserve">The Trust Score associated with a CTID is a numeric value between zero</w:t>
      </w:r>
      <w:r>
        <w:t xml:space="preserve"> </w:t>
      </w:r>
      <w:r>
        <w:t xml:space="preserve">and one thousand inclusive, computed deterministically from four</w:t>
      </w:r>
      <w:r>
        <w:t xml:space="preserve"> </w:t>
      </w:r>
      <w:r>
        <w:t xml:space="preserve">sub-scores under the aggregation rules described in Section 6.2.</w:t>
      </w:r>
    </w:p>
    <w:p>
      <w:pPr>
        <w:pStyle w:val="BodyText"/>
      </w:pPr>
      <w:r>
        <w:t xml:space="preserve">The Trust Score is not a classification of the natural person,</w:t>
      </w:r>
      <w:r>
        <w:t xml:space="preserve"> </w:t>
      </w:r>
      <w:r>
        <w:t xml:space="preserve">organization, or other entity behind the CTID. The Trust Score is a</w:t>
      </w:r>
      <w:r>
        <w:t xml:space="preserve"> </w:t>
      </w:r>
      <w:r>
        <w:t xml:space="preserve">measure of the operational history of the CTID under the protocol: the</w:t>
      </w:r>
      <w:r>
        <w:t xml:space="preserve"> </w:t>
      </w:r>
      <w:r>
        <w:t xml:space="preserve">cryptographic state of its credentials, the behavioral pattern of its</w:t>
      </w:r>
      <w:r>
        <w:t xml:space="preserve"> </w:t>
      </w:r>
      <w:r>
        <w:t xml:space="preserve">use within the protocol, the adjudicated outcomes of disputes it has</w:t>
      </w:r>
      <w:r>
        <w:t xml:space="preserve"> </w:t>
      </w:r>
      <w:r>
        <w:t xml:space="preserve">been a party to, and the network position of the CTID within the</w:t>
      </w:r>
      <w:r>
        <w:t xml:space="preserve"> </w:t>
      </w:r>
      <w:r>
        <w:t xml:space="preserve">federated ecosystem. The Trust Score is, in regulatory terms, a content</w:t>
      </w:r>
      <w:r>
        <w:t xml:space="preserve"> </w:t>
      </w:r>
      <w:r>
        <w:t xml:space="preserve">authenticity and operator reliability signal. It is not a social scoring</w:t>
      </w:r>
      <w:r>
        <w:t xml:space="preserve"> </w:t>
      </w:r>
      <w:r>
        <w:t xml:space="preserve">system within the meaning of Article 5(1)(c) of Regulation (EU)</w:t>
      </w:r>
      <w:r>
        <w:t xml:space="preserve"> </w:t>
      </w:r>
      <w:r>
        <w:t xml:space="preserve">2024/1689, for the reasons set out in Part X Section 10.8.</w:t>
      </w:r>
    </w:p>
    <w:bookmarkEnd w:id="132"/>
    <w:bookmarkStart w:id="138" w:name="the-four-sub-scores"/>
    <w:p>
      <w:pPr>
        <w:pStyle w:val="Heading2"/>
      </w:pPr>
      <w:r>
        <w:t xml:space="preserve">6.2 The four sub-scores</w:t>
      </w:r>
    </w:p>
    <w:p>
      <w:pPr>
        <w:pStyle w:val="FirstParagraph"/>
      </w:pPr>
      <w:r>
        <w:t xml:space="preserve">The Trust Score is computed from four sub-scores. Each sub-score is</w:t>
      </w:r>
      <w:r>
        <w:t xml:space="preserve"> </w:t>
      </w:r>
      <w:r>
        <w:t xml:space="preserve">itself a numeric value between zero and one thousand. The aggregation is</w:t>
      </w:r>
      <w:r>
        <w:t xml:space="preserve"> </w:t>
      </w:r>
      <w:r>
        <w:t xml:space="preserve">a weighted average defined in Section 6.2.5.</w:t>
      </w:r>
    </w:p>
    <w:bookmarkStart w:id="133" w:name="cryptographic-sub-score"/>
    <w:p>
      <w:pPr>
        <w:pStyle w:val="Heading3"/>
      </w:pPr>
      <w:r>
        <w:t xml:space="preserve">6.2.1 Cryptographic sub-score</w:t>
      </w:r>
    </w:p>
    <w:p>
      <w:pPr>
        <w:pStyle w:val="FirstParagraph"/>
      </w:pPr>
      <w:r>
        <w:t xml:space="preserve">The Cryptographic sub-score reflects the cryptographic posture of the</w:t>
      </w:r>
      <w:r>
        <w:t xml:space="preserve"> </w:t>
      </w:r>
      <w:r>
        <w:t xml:space="preserve">CTID. The inputs are:</w:t>
      </w:r>
    </w:p>
    <w:p>
      <w:pPr>
        <w:numPr>
          <w:ilvl w:val="0"/>
          <w:numId w:val="1011"/>
        </w:numPr>
      </w:pPr>
      <w:r>
        <w:t xml:space="preserve">The signature scheme used by the CTID at issuance and currently.</w:t>
      </w:r>
      <w:r>
        <w:t xml:space="preserve"> </w:t>
      </w:r>
      <w:r>
        <w:t xml:space="preserve">A CTID issued and operating under ML-DSA-65 receives the full</w:t>
      </w:r>
      <w:r>
        <w:t xml:space="preserve"> </w:t>
      </w:r>
      <w:r>
        <w:t xml:space="preserve">Cryptographic sub-score weight. A CTID operating under a classical</w:t>
      </w:r>
      <w:r>
        <w:t xml:space="preserve"> </w:t>
      </w:r>
      <w:r>
        <w:t xml:space="preserve">scheme augmented by the enveloping signature pattern described in Part</w:t>
      </w:r>
      <w:r>
        <w:t xml:space="preserve"> </w:t>
      </w:r>
      <w:r>
        <w:t xml:space="preserve">IV Section 4.1.4 receives a reduced Cryptographic sub-score weight that</w:t>
      </w:r>
      <w:r>
        <w:t xml:space="preserve"> </w:t>
      </w:r>
      <w:r>
        <w:t xml:space="preserve">increases as the CTID migrates to a native post-quantum</w:t>
      </w:r>
      <w:r>
        <w:t xml:space="preserve"> </w:t>
      </w:r>
      <w:r>
        <w:t xml:space="preserve">authenticator.</w:t>
      </w:r>
    </w:p>
    <w:p>
      <w:pPr>
        <w:numPr>
          <w:ilvl w:val="0"/>
          <w:numId w:val="1011"/>
        </w:numPr>
      </w:pPr>
      <w:r>
        <w:t xml:space="preserve">The integrity of the authenticator binding. A CTID whose</w:t>
      </w:r>
      <w:r>
        <w:t xml:space="preserve"> </w:t>
      </w:r>
      <w:r>
        <w:t xml:space="preserve">authenticator attestation has been verified and remains valid receives</w:t>
      </w:r>
      <w:r>
        <w:t xml:space="preserve"> </w:t>
      </w:r>
      <w:r>
        <w:t xml:space="preserve">the full Cryptographic sub-score weight. A CTID whose attestation has</w:t>
      </w:r>
      <w:r>
        <w:t xml:space="preserve"> </w:t>
      </w:r>
      <w:r>
        <w:t xml:space="preserve">expired or whose authenticator has issued a key compromise notice</w:t>
      </w:r>
      <w:r>
        <w:t xml:space="preserve"> </w:t>
      </w:r>
      <w:r>
        <w:t xml:space="preserve">receives a materially reduced Cryptographic sub-score.</w:t>
      </w:r>
    </w:p>
    <w:p>
      <w:pPr>
        <w:numPr>
          <w:ilvl w:val="0"/>
          <w:numId w:val="1011"/>
        </w:numPr>
      </w:pPr>
      <w:r>
        <w:t xml:space="preserve">The recency of the signing key in use. A CTID whose signing key</w:t>
      </w:r>
      <w:r>
        <w:t xml:space="preserve"> </w:t>
      </w:r>
      <w:r>
        <w:t xml:space="preserve">is the original key associated with the CTID receives the full</w:t>
      </w:r>
      <w:r>
        <w:t xml:space="preserve"> </w:t>
      </w:r>
      <w:r>
        <w:t xml:space="preserve">Cryptographic sub-score weight. A CTID whose signing key has been</w:t>
      </w:r>
      <w:r>
        <w:t xml:space="preserve"> </w:t>
      </w:r>
      <w:r>
        <w:t xml:space="preserve">rotated under the procedure published by the issuing Verification</w:t>
      </w:r>
      <w:r>
        <w:t xml:space="preserve"> </w:t>
      </w:r>
      <w:r>
        <w:t xml:space="preserve">Provider receives the full Cryptographic sub-score weight; the rotation</w:t>
      </w:r>
      <w:r>
        <w:t xml:space="preserve"> </w:t>
      </w:r>
      <w:r>
        <w:t xml:space="preserve">event is recorded on the federated DAG.</w:t>
      </w:r>
    </w:p>
    <w:p>
      <w:pPr>
        <w:numPr>
          <w:ilvl w:val="0"/>
          <w:numId w:val="1011"/>
        </w:numPr>
      </w:pPr>
      <w:r>
        <w:t xml:space="preserve">The integrity of any optional SLH-DSA fallback signatures</w:t>
      </w:r>
      <w:r>
        <w:t xml:space="preserve"> </w:t>
      </w:r>
      <w:r>
        <w:t xml:space="preserve">recorded on long-term archival records.</w:t>
      </w:r>
    </w:p>
    <w:p>
      <w:pPr>
        <w:pStyle w:val="FirstParagraph"/>
      </w:pPr>
      <w:r>
        <w:t xml:space="preserve">The Cryptographic sub-score reflects the technical assurance</w:t>
      </w:r>
      <w:r>
        <w:t xml:space="preserve"> </w:t>
      </w:r>
      <w:r>
        <w:t xml:space="preserve">attaching to the CTID’s signing capability and is largely controlled by</w:t>
      </w:r>
      <w:r>
        <w:t xml:space="preserve"> </w:t>
      </w:r>
      <w:r>
        <w:t xml:space="preserve">the CTID holder’s choice of authenticator and the CTID holder’s</w:t>
      </w:r>
      <w:r>
        <w:t xml:space="preserve"> </w:t>
      </w:r>
      <w:r>
        <w:t xml:space="preserve">compliance with the issuing Verification Provider’s procedures.</w:t>
      </w:r>
    </w:p>
    <w:bookmarkEnd w:id="133"/>
    <w:bookmarkStart w:id="134" w:name="behavioral-sub-score"/>
    <w:p>
      <w:pPr>
        <w:pStyle w:val="Heading3"/>
      </w:pPr>
      <w:r>
        <w:t xml:space="preserve">6.2.2 Behavioral sub-score</w:t>
      </w:r>
    </w:p>
    <w:p>
      <w:pPr>
        <w:pStyle w:val="FirstParagraph"/>
      </w:pPr>
      <w:r>
        <w:t xml:space="preserve">The Behavioral sub-score reflects the behavioral pattern of the</w:t>
      </w:r>
      <w:r>
        <w:t xml:space="preserve"> </w:t>
      </w:r>
      <w:r>
        <w:t xml:space="preserve">CTID’s use within the protocol. The inputs are:</w:t>
      </w:r>
    </w:p>
    <w:p>
      <w:pPr>
        <w:numPr>
          <w:ilvl w:val="0"/>
          <w:numId w:val="1012"/>
        </w:numPr>
      </w:pPr>
      <w:r>
        <w:t xml:space="preserve">The volume of TIP-CONTENT records published under the CTID over</w:t>
      </w:r>
      <w:r>
        <w:t xml:space="preserve"> </w:t>
      </w:r>
      <w:r>
        <w:t xml:space="preserve">the observation window, with established CTIDs receiving a higher</w:t>
      </w:r>
      <w:r>
        <w:t xml:space="preserve"> </w:t>
      </w:r>
      <w:r>
        <w:t xml:space="preserve">Behavioral sub-score than freshly issued CTIDs.</w:t>
      </w:r>
    </w:p>
    <w:p>
      <w:pPr>
        <w:numPr>
          <w:ilvl w:val="0"/>
          <w:numId w:val="1012"/>
        </w:numPr>
      </w:pPr>
      <w:r>
        <w:t xml:space="preserve">The Origin Code distribution of the published TIP-CONTENT</w:t>
      </w:r>
      <w:r>
        <w:t xml:space="preserve"> </w:t>
      </w:r>
      <w:r>
        <w:t xml:space="preserve">records, with CTIDs publishing a distribution consistent with their</w:t>
      </w:r>
      <w:r>
        <w:t xml:space="preserve"> </w:t>
      </w:r>
      <w:r>
        <w:t xml:space="preserve">declared role receiving a higher Behavioral sub-score than CTIDs</w:t>
      </w:r>
      <w:r>
        <w:t xml:space="preserve"> </w:t>
      </w:r>
      <w:r>
        <w:t xml:space="preserve">publishing a distribution inconsistent with their declared</w:t>
      </w:r>
      <w:r>
        <w:t xml:space="preserve"> </w:t>
      </w:r>
      <w:r>
        <w:t xml:space="preserve">role.</w:t>
      </w:r>
    </w:p>
    <w:p>
      <w:pPr>
        <w:numPr>
          <w:ilvl w:val="0"/>
          <w:numId w:val="1012"/>
        </w:numPr>
      </w:pPr>
      <w:r>
        <w:t xml:space="preserve">The CONTENT_UPDATED event distribution, with CTIDs disclosing</w:t>
      </w:r>
      <w:r>
        <w:t xml:space="preserve"> </w:t>
      </w:r>
      <w:r>
        <w:t xml:space="preserve">modifications through CONTENT_UPDATED events receiving a higher</w:t>
      </w:r>
      <w:r>
        <w:t xml:space="preserve"> </w:t>
      </w:r>
      <w:r>
        <w:t xml:space="preserve">Behavioral sub-score than CTIDs whose disclosed modifications are</w:t>
      </w:r>
      <w:r>
        <w:t xml:space="preserve"> </w:t>
      </w:r>
      <w:r>
        <w:t xml:space="preserve">persistently silent or whose modifications are systematically</w:t>
      </w:r>
      <w:r>
        <w:t xml:space="preserve"> </w:t>
      </w:r>
      <w:r>
        <w:t xml:space="preserve">miscategorized.</w:t>
      </w:r>
    </w:p>
    <w:p>
      <w:pPr>
        <w:numPr>
          <w:ilvl w:val="0"/>
          <w:numId w:val="1012"/>
        </w:numPr>
      </w:pPr>
      <w:r>
        <w:t xml:space="preserve">Anomaly indicators including but not limited to publication rates</w:t>
      </w:r>
      <w:r>
        <w:t xml:space="preserve"> </w:t>
      </w:r>
      <w:r>
        <w:t xml:space="preserve">inconsistent with human or institutional operation, signature timestamp</w:t>
      </w:r>
      <w:r>
        <w:t xml:space="preserve"> </w:t>
      </w:r>
      <w:r>
        <w:t xml:space="preserve">patterns inconsistent with the declared jurisdiction of the CTID, and</w:t>
      </w:r>
      <w:r>
        <w:t xml:space="preserve"> </w:t>
      </w:r>
      <w:r>
        <w:t xml:space="preserve">platform identifier distributions inconsistent with the CTID’s declared</w:t>
      </w:r>
      <w:r>
        <w:t xml:space="preserve"> </w:t>
      </w:r>
      <w:r>
        <w:t xml:space="preserve">use.</w:t>
      </w:r>
    </w:p>
    <w:p>
      <w:pPr>
        <w:pStyle w:val="FirstParagraph"/>
      </w:pPr>
      <w:r>
        <w:t xml:space="preserve">The Behavioral sub-score is the principal vector by which Sybil and</w:t>
      </w:r>
      <w:r>
        <w:t xml:space="preserve"> </w:t>
      </w:r>
      <w:r>
        <w:t xml:space="preserve">automation adversaries are reflected in the Trust Score.</w:t>
      </w:r>
    </w:p>
    <w:bookmarkEnd w:id="134"/>
    <w:bookmarkStart w:id="135" w:name="adjudicated-sub-score"/>
    <w:p>
      <w:pPr>
        <w:pStyle w:val="Heading3"/>
      </w:pPr>
      <w:r>
        <w:t xml:space="preserve">6.2.3 Adjudicated sub-score</w:t>
      </w:r>
    </w:p>
    <w:p>
      <w:pPr>
        <w:pStyle w:val="FirstParagraph"/>
      </w:pPr>
      <w:r>
        <w:t xml:space="preserve">The Adjudicated sub-score reflects the outcomes of adjudication</w:t>
      </w:r>
      <w:r>
        <w:t xml:space="preserve"> </w:t>
      </w:r>
      <w:r>
        <w:t xml:space="preserve">proceedings under Section 6.4 affecting the CTID. The inputs are:</w:t>
      </w:r>
    </w:p>
    <w:p>
      <w:pPr>
        <w:numPr>
          <w:ilvl w:val="0"/>
          <w:numId w:val="1013"/>
        </w:numPr>
      </w:pPr>
      <w:r>
        <w:t xml:space="preserve">Final determinations by bonded juries adverse to the CTID.</w:t>
      </w:r>
      <w:r>
        <w:t xml:space="preserve"> </w:t>
      </w:r>
      <w:r>
        <w:t xml:space="preserve">Adverse determinations reduce the Adjudicated sub-score in proportion to</w:t>
      </w:r>
      <w:r>
        <w:t xml:space="preserve"> </w:t>
      </w:r>
      <w:r>
        <w:t xml:space="preserve">the severity of the determination (the categories of severity are</w:t>
      </w:r>
      <w:r>
        <w:t xml:space="preserve"> </w:t>
      </w:r>
      <w:r>
        <w:t xml:space="preserve">defined in the Charter and in the operative adjudication</w:t>
      </w:r>
      <w:r>
        <w:t xml:space="preserve"> </w:t>
      </w:r>
      <w:r>
        <w:t xml:space="preserve">procedure).</w:t>
      </w:r>
    </w:p>
    <w:p>
      <w:pPr>
        <w:numPr>
          <w:ilvl w:val="0"/>
          <w:numId w:val="1013"/>
        </w:numPr>
      </w:pPr>
      <w:r>
        <w:t xml:space="preserve">Final determinations favorable to the CTID following a dispute</w:t>
      </w:r>
      <w:r>
        <w:t xml:space="preserve"> </w:t>
      </w:r>
      <w:r>
        <w:t xml:space="preserve">initiated by a third party. Favorable determinations preserve the</w:t>
      </w:r>
      <w:r>
        <w:t xml:space="preserve"> </w:t>
      </w:r>
      <w:r>
        <w:t xml:space="preserve">Adjudicated sub-score and, where the dispute was facially without merit,</w:t>
      </w:r>
      <w:r>
        <w:t xml:space="preserve"> </w:t>
      </w:r>
      <w:r>
        <w:t xml:space="preserve">may modestly increase the Adjudicated sub-score of the CTID and reduce</w:t>
      </w:r>
      <w:r>
        <w:t xml:space="preserve"> </w:t>
      </w:r>
      <w:r>
        <w:t xml:space="preserve">the Adjudicated sub-score of the initiating party.</w:t>
      </w:r>
    </w:p>
    <w:p>
      <w:pPr>
        <w:numPr>
          <w:ilvl w:val="0"/>
          <w:numId w:val="1013"/>
        </w:numPr>
      </w:pPr>
      <w:r>
        <w:t xml:space="preserve">Settlements, withdrawals, and dismissals of disputes, which are</w:t>
      </w:r>
      <w:r>
        <w:t xml:space="preserve"> </w:t>
      </w:r>
      <w:r>
        <w:t xml:space="preserve">recorded but which do not by themselves alter the Adjudicated</w:t>
      </w:r>
      <w:r>
        <w:t xml:space="preserve"> </w:t>
      </w:r>
      <w:r>
        <w:t xml:space="preserve">sub-score.</w:t>
      </w:r>
    </w:p>
    <w:p>
      <w:pPr>
        <w:pStyle w:val="FirstParagraph"/>
      </w:pPr>
      <w:r>
        <w:t xml:space="preserve">The Adjudicated sub-score is the principal vector by which the</w:t>
      </w:r>
      <w:r>
        <w:t xml:space="preserve"> </w:t>
      </w:r>
      <w:r>
        <w:t xml:space="preserve">substantive evaluation of the CTID’s conduct (as distinct from the</w:t>
      </w:r>
      <w:r>
        <w:t xml:space="preserve"> </w:t>
      </w:r>
      <w:r>
        <w:t xml:space="preserve">cryptographic and behavioral statistical signals) enters the Trust</w:t>
      </w:r>
      <w:r>
        <w:t xml:space="preserve"> </w:t>
      </w:r>
      <w:r>
        <w:t xml:space="preserve">Score.</w:t>
      </w:r>
    </w:p>
    <w:bookmarkEnd w:id="135"/>
    <w:bookmarkStart w:id="136" w:name="network-sub-score"/>
    <w:p>
      <w:pPr>
        <w:pStyle w:val="Heading3"/>
      </w:pPr>
      <w:r>
        <w:t xml:space="preserve">6.2.4 Network sub-score</w:t>
      </w:r>
    </w:p>
    <w:p>
      <w:pPr>
        <w:pStyle w:val="FirstParagraph"/>
      </w:pPr>
      <w:r>
        <w:t xml:space="preserve">The Network sub-score reflects the network position of the CTID</w:t>
      </w:r>
      <w:r>
        <w:t xml:space="preserve"> </w:t>
      </w:r>
      <w:r>
        <w:t xml:space="preserve">within the federated ecosystem. The inputs are:</w:t>
      </w:r>
    </w:p>
    <w:p>
      <w:pPr>
        <w:numPr>
          <w:ilvl w:val="0"/>
          <w:numId w:val="1014"/>
        </w:numPr>
      </w:pPr>
      <w:r>
        <w:t xml:space="preserve">The accreditation status of the issuing Verification Provider,</w:t>
      </w:r>
      <w:r>
        <w:t xml:space="preserve"> </w:t>
      </w:r>
      <w:r>
        <w:t xml:space="preserve">with CTIDs issued by Verification Providers in good standing receiving</w:t>
      </w:r>
      <w:r>
        <w:t xml:space="preserve"> </w:t>
      </w:r>
      <w:r>
        <w:t xml:space="preserve">the full Network sub-score weight, and CTIDs issued by Verification</w:t>
      </w:r>
      <w:r>
        <w:t xml:space="preserve"> </w:t>
      </w:r>
      <w:r>
        <w:t xml:space="preserve">Providers under suspension receiving a reduced Network</w:t>
      </w:r>
      <w:r>
        <w:t xml:space="preserve"> </w:t>
      </w:r>
      <w:r>
        <w:t xml:space="preserve">sub-score.</w:t>
      </w:r>
    </w:p>
    <w:p>
      <w:pPr>
        <w:numPr>
          <w:ilvl w:val="0"/>
          <w:numId w:val="1014"/>
        </w:numPr>
      </w:pPr>
      <w:r>
        <w:t xml:space="preserve">The graded character of the CTID. A high-assurance CTID (issued</w:t>
      </w:r>
      <w:r>
        <w:t xml:space="preserve"> </w:t>
      </w:r>
      <w:r>
        <w:t xml:space="preserve">on in-person verification with documentary evidence) receives a higher</w:t>
      </w:r>
      <w:r>
        <w:t xml:space="preserve"> </w:t>
      </w:r>
      <w:r>
        <w:t xml:space="preserve">Network sub-score than an enhanced CTID, which receives a higher Network</w:t>
      </w:r>
      <w:r>
        <w:t xml:space="preserve"> </w:t>
      </w:r>
      <w:r>
        <w:t xml:space="preserve">sub-score than a basic CTID.</w:t>
      </w:r>
    </w:p>
    <w:p>
      <w:pPr>
        <w:numPr>
          <w:ilvl w:val="0"/>
          <w:numId w:val="1014"/>
        </w:numPr>
      </w:pPr>
      <w:r>
        <w:t xml:space="preserve">The jurisdiction declaration of the issuing Verification</w:t>
      </w:r>
      <w:r>
        <w:t xml:space="preserve"> </w:t>
      </w:r>
      <w:r>
        <w:t xml:space="preserve">Provider, with the Network sub-score reflecting the publicly assessed</w:t>
      </w:r>
      <w:r>
        <w:t xml:space="preserve"> </w:t>
      </w:r>
      <w:r>
        <w:t xml:space="preserve">strength of the legal protections and the legal process available in the</w:t>
      </w:r>
      <w:r>
        <w:t xml:space="preserve"> </w:t>
      </w:r>
      <w:r>
        <w:t xml:space="preserve">jurisdiction. The jurisdiction-effect input is small and is published;</w:t>
      </w:r>
      <w:r>
        <w:t xml:space="preserve"> </w:t>
      </w:r>
      <w:r>
        <w:t xml:space="preserve">its purpose is to give effect to the rule-of-law indicia material to the</w:t>
      </w:r>
      <w:r>
        <w:t xml:space="preserve"> </w:t>
      </w:r>
      <w:r>
        <w:t xml:space="preserve">operational reliability of the CTID, not to disadvantage CTIDs from any</w:t>
      </w:r>
      <w:r>
        <w:t xml:space="preserve"> </w:t>
      </w:r>
      <w:r>
        <w:t xml:space="preserve">particular jurisdiction.</w:t>
      </w:r>
    </w:p>
    <w:p>
      <w:pPr>
        <w:pStyle w:val="FirstParagraph"/>
      </w:pPr>
      <w:r>
        <w:t xml:space="preserve">The Network sub-score is the principal vector by which institutional</w:t>
      </w:r>
      <w:r>
        <w:t xml:space="preserve"> </w:t>
      </w:r>
      <w:r>
        <w:t xml:space="preserve">context enters the Trust Score.</w:t>
      </w:r>
    </w:p>
    <w:bookmarkEnd w:id="136"/>
    <w:bookmarkStart w:id="137" w:name="aggregation"/>
    <w:p>
      <w:pPr>
        <w:pStyle w:val="Heading3"/>
      </w:pPr>
      <w:r>
        <w:t xml:space="preserve">6.2.5 Aggregation</w:t>
      </w:r>
    </w:p>
    <w:p>
      <w:pPr>
        <w:pStyle w:val="FirstParagraph"/>
      </w:pPr>
      <w:r>
        <w:t xml:space="preserve">The Trust Score is computed from the four sub-scores by weighted</w:t>
      </w:r>
      <w:r>
        <w:t xml:space="preserve"> </w:t>
      </w:r>
      <w:r>
        <w:t xml:space="preserve">average. The default weights at the publication of this whitepaper are:</w:t>
      </w:r>
      <w:r>
        <w:t xml:space="preserve"> </w:t>
      </w:r>
      <w:r>
        <w:t xml:space="preserve">Cryptographic 0.20; Behavioral 0.30; Adjudicated 0.30; Network 0.20. The</w:t>
      </w:r>
      <w:r>
        <w:t xml:space="preserve"> </w:t>
      </w:r>
      <w:r>
        <w:t xml:space="preserve">weights are subject to amendment by the AI Trust Council under the</w:t>
      </w:r>
      <w:r>
        <w:t xml:space="preserve"> </w:t>
      </w:r>
      <w:r>
        <w:t xml:space="preserve">supermajority threshold described in the Charter. Any weight amendment</w:t>
      </w:r>
      <w:r>
        <w:t xml:space="preserve"> </w:t>
      </w:r>
      <w:r>
        <w:t xml:space="preserve">is published with at least one hundred and twenty days of notice.</w:t>
      </w:r>
    </w:p>
    <w:p>
      <w:pPr>
        <w:pStyle w:val="BodyText"/>
      </w:pPr>
      <w:r>
        <w:t xml:space="preserve">The aggregated Trust Score is rounded to the nearest integer. The</w:t>
      </w:r>
      <w:r>
        <w:t xml:space="preserve"> </w:t>
      </w:r>
      <w:r>
        <w:t xml:space="preserve">Trust Score is recomputed on every event materially affecting any</w:t>
      </w:r>
      <w:r>
        <w:t xml:space="preserve"> </w:t>
      </w:r>
      <w:r>
        <w:t xml:space="preserve">sub-score and at least daily.</w:t>
      </w:r>
    </w:p>
    <w:bookmarkEnd w:id="137"/>
    <w:bookmarkEnd w:id="138"/>
    <w:bookmarkStart w:id="139" w:name="trust-score-classes"/>
    <w:p>
      <w:pPr>
        <w:pStyle w:val="Heading2"/>
      </w:pPr>
      <w:r>
        <w:t xml:space="preserve">6.3 Trust Score tiers</w:t>
      </w:r>
    </w:p>
    <w:p>
      <w:pPr>
        <w:pStyle w:val="FirstParagraph"/>
      </w:pPr>
      <w:r>
        <w:t xml:space="preserve">For reader-facing display, the Trust Score is associated with five</w:t>
      </w:r>
      <w:r>
        <w:t xml:space="preserve"> </w:t>
      </w:r>
      <w:r>
        <w:t xml:space="preserve">normative tiers. The tiers at the publication of this whitepaper, as</w:t>
      </w:r>
      <w:r>
        <w:t xml:space="preserve"> </w:t>
      </w:r>
      <w:r>
        <w:t xml:space="preserve">defined in Section 26 of the canonical TIP Protocol Specification</w:t>
      </w:r>
      <w:r>
        <w:t xml:space="preserve"> </w:t>
      </w:r>
      <w:r>
        <w:t xml:space="preserve">v5.0, are:</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Score range</w:t>
            </w:r>
          </w:p>
        </w:tc>
        <w:tc>
          <w:tcPr/>
          <w:p>
            <w:pPr>
              <w:pStyle w:val="Compact"/>
            </w:pPr>
            <w:r>
              <w:t xml:space="preserve">Tier</w:t>
            </w:r>
          </w:p>
        </w:tc>
        <w:tc>
          <w:tcPr/>
          <w:p>
            <w:pPr>
              <w:pStyle w:val="Compact"/>
            </w:pPr>
            <w:r>
              <w:t xml:space="preserve">Icon</w:t>
            </w:r>
          </w:p>
        </w:tc>
        <w:tc>
          <w:tcPr/>
          <w:p>
            <w:pPr>
              <w:pStyle w:val="Compact"/>
            </w:pPr>
            <w:r>
              <w:t xml:space="preserve">Color</w:t>
            </w:r>
          </w:p>
        </w:tc>
      </w:tr>
      <w:tr>
        <w:tc>
          <w:tcPr/>
          <w:p>
            <w:pPr>
              <w:pStyle w:val="Compact"/>
            </w:pPr>
            <w:r>
              <w:t xml:space="preserve">800 to 1000</w:t>
            </w:r>
          </w:p>
        </w:tc>
        <w:tc>
          <w:tcPr/>
          <w:p>
            <w:pPr>
              <w:pStyle w:val="Compact"/>
            </w:pPr>
            <w:r>
              <w:t xml:space="preserve">HIGHLY_TRUSTED</w:t>
            </w:r>
          </w:p>
        </w:tc>
        <w:tc>
          <w:tcPr/>
          <w:p>
            <w:pPr>
              <w:pStyle w:val="Compact"/>
            </w:pPr>
            <w:r>
              <w:t xml:space="preserve">check</w:t>
            </w:r>
          </w:p>
        </w:tc>
        <w:tc>
          <w:tcPr/>
          <w:p>
            <w:pPr>
              <w:pStyle w:val="Compact"/>
            </w:pPr>
            <w:r>
              <w:t xml:space="preserve">Green (#1A8A5C)</w:t>
            </w:r>
          </w:p>
        </w:tc>
      </w:tr>
      <w:tr>
        <w:tc>
          <w:tcPr/>
          <w:p>
            <w:pPr>
              <w:pStyle w:val="Compact"/>
            </w:pPr>
            <w:r>
              <w:t xml:space="preserve">600 to 799</w:t>
            </w:r>
          </w:p>
        </w:tc>
        <w:tc>
          <w:tcPr/>
          <w:p>
            <w:pPr>
              <w:pStyle w:val="Compact"/>
            </w:pPr>
            <w:r>
              <w:t xml:space="preserve">TRUSTED</w:t>
            </w:r>
          </w:p>
        </w:tc>
        <w:tc>
          <w:tcPr/>
          <w:p>
            <w:pPr>
              <w:pStyle w:val="Compact"/>
            </w:pPr>
            <w:r>
              <w:t xml:space="preserve">check</w:t>
            </w:r>
          </w:p>
        </w:tc>
        <w:tc>
          <w:tcPr/>
          <w:p>
            <w:pPr>
              <w:pStyle w:val="Compact"/>
            </w:pPr>
            <w:r>
              <w:t xml:space="preserve">Blue (#2563A8)</w:t>
            </w:r>
          </w:p>
        </w:tc>
      </w:tr>
      <w:tr>
        <w:tc>
          <w:tcPr/>
          <w:p>
            <w:pPr>
              <w:pStyle w:val="Compact"/>
            </w:pPr>
            <w:r>
              <w:t xml:space="preserve">400 to 599</w:t>
            </w:r>
          </w:p>
        </w:tc>
        <w:tc>
          <w:tcPr/>
          <w:p>
            <w:pPr>
              <w:pStyle w:val="Compact"/>
            </w:pPr>
            <w:r>
              <w:t xml:space="preserve">REVIEW_ADVISED</w:t>
            </w:r>
          </w:p>
        </w:tc>
        <w:tc>
          <w:tcPr/>
          <w:p>
            <w:pPr>
              <w:pStyle w:val="Compact"/>
            </w:pPr>
            <w:r>
              <w:t xml:space="preserve">exclamation</w:t>
            </w:r>
          </w:p>
        </w:tc>
        <w:tc>
          <w:tcPr/>
          <w:p>
            <w:pPr>
              <w:pStyle w:val="Compact"/>
            </w:pPr>
            <w:r>
              <w:t xml:space="preserve">Amber (#A88B15)</w:t>
            </w:r>
          </w:p>
        </w:tc>
      </w:tr>
      <w:tr>
        <w:tc>
          <w:tcPr/>
          <w:p>
            <w:pPr>
              <w:pStyle w:val="Compact"/>
            </w:pPr>
            <w:r>
              <w:t xml:space="preserve">200 to 399</w:t>
            </w:r>
          </w:p>
        </w:tc>
        <w:tc>
          <w:tcPr/>
          <w:p>
            <w:pPr>
              <w:pStyle w:val="Compact"/>
            </w:pPr>
            <w:r>
              <w:t xml:space="preserve">LOW_TRUST</w:t>
            </w:r>
          </w:p>
        </w:tc>
        <w:tc>
          <w:tcPr/>
          <w:p>
            <w:pPr>
              <w:pStyle w:val="Compact"/>
            </w:pPr>
            <w:r>
              <w:t xml:space="preserve">cross</w:t>
            </w:r>
          </w:p>
        </w:tc>
        <w:tc>
          <w:tcPr/>
          <w:p>
            <w:pPr>
              <w:pStyle w:val="Compact"/>
            </w:pPr>
            <w:r>
              <w:t xml:space="preserve">Orange (#C07318)</w:t>
            </w:r>
          </w:p>
        </w:tc>
      </w:tr>
      <w:tr>
        <w:tc>
          <w:tcPr/>
          <w:p>
            <w:pPr>
              <w:pStyle w:val="Compact"/>
            </w:pPr>
            <w:r>
              <w:t xml:space="preserve">0 to 199</w:t>
            </w:r>
          </w:p>
        </w:tc>
        <w:tc>
          <w:tcPr/>
          <w:p>
            <w:pPr>
              <w:pStyle w:val="Compact"/>
            </w:pPr>
            <w:r>
              <w:t xml:space="preserve">NOT_TRUSTED</w:t>
            </w:r>
          </w:p>
        </w:tc>
        <w:tc>
          <w:tcPr/>
          <w:p>
            <w:pPr>
              <w:pStyle w:val="Compact"/>
            </w:pPr>
            <w:r>
              <w:t xml:space="preserve">cross</w:t>
            </w:r>
          </w:p>
        </w:tc>
        <w:tc>
          <w:tcPr/>
          <w:p>
            <w:pPr>
              <w:pStyle w:val="Compact"/>
            </w:pPr>
            <w:r>
              <w:t xml:space="preserve">Red (#C53030)</w:t>
            </w:r>
          </w:p>
        </w:tc>
      </w:tr>
    </w:tbl>
    <w:p>
      <w:pPr>
        <w:pStyle w:val="BodyText"/>
      </w:pPr>
      <w:r>
        <w:t xml:space="preserve">The tier is the principal element of the reader-facing badge. The</w:t>
      </w:r>
      <w:r>
        <w:t xml:space="preserve"> </w:t>
      </w:r>
      <w:r>
        <w:t xml:space="preserve">numeric Trust Score is available on tap or hover; the default</w:t>
      </w:r>
      <w:r>
        <w:t xml:space="preserve"> </w:t>
      </w:r>
      <w:r>
        <w:t xml:space="preserve">visibility mode is TIER_ONLY (Section 27 of the canonical</w:t>
      </w:r>
      <w:r>
        <w:t xml:space="preserve"> </w:t>
      </w:r>
      <w:r>
        <w:t xml:space="preserve">Specification), under which only the tier label is visible to third</w:t>
      </w:r>
      <w:r>
        <w:t xml:space="preserve"> </w:t>
      </w:r>
      <w:r>
        <w:t xml:space="preserve">parties and the numeric score is hidden unless the holder elects the</w:t>
      </w:r>
      <w:r>
        <w:t xml:space="preserve"> </w:t>
      </w:r>
      <w:r>
        <w:t xml:space="preserve">FULL_PUBLIC mode. The tier names are normative; conforming</w:t>
      </w:r>
      <w:r>
        <w:t xml:space="preserve"> </w:t>
      </w:r>
      <w:r>
        <w:t xml:space="preserve">implementations MUST NOT invent new tier names. The tier color is</w:t>
      </w:r>
      <w:r>
        <w:t xml:space="preserve"> </w:t>
      </w:r>
      <w:r>
        <w:t xml:space="preserve">paired with text and icon so that the tier is perceptible without</w:t>
      </w:r>
      <w:r>
        <w:t xml:space="preserve"> </w:t>
      </w:r>
      <w:r>
        <w:t xml:space="preserve">color (for visually impaired readers and readers with red-green color</w:t>
      </w:r>
      <w:r>
        <w:t xml:space="preserve"> </w:t>
      </w:r>
      <w:r>
        <w:t xml:space="preserve">blindness).</w:t>
      </w:r>
    </w:p>
    <w:p>
      <w:pPr>
        <w:pStyle w:val="BodyText"/>
      </w:pPr>
      <w:r>
        <w:rPr>
          <w:b/>
          <w:bCs/>
        </w:rPr>
        <w:t xml:space="preserve">Values shown are governed by the AI Trust Council and may evolve.</w:t>
      </w:r>
      <w:r>
        <w:t xml:space="preserve"> </w:t>
      </w:r>
      <w:r>
        <w:t xml:space="preserve">The score-range boundaries, tier names, icons, colors, penalty</w:t>
      </w:r>
      <w:r>
        <w:t xml:space="preserve"> </w:t>
      </w:r>
      <w:r>
        <w:t xml:space="preserve">points, juror eligibility thresholds, Blocking Item triggers, and</w:t>
      </w:r>
      <w:r>
        <w:t xml:space="preserve"> </w:t>
      </w:r>
      <w:r>
        <w:t xml:space="preserve">related numeric parameters are amendable by the AI Trust Council in</w:t>
      </w:r>
      <w:r>
        <w:t xml:space="preserve"> </w:t>
      </w:r>
      <w:r>
        <w:t xml:space="preserve">accordance with the Charter. The values published here represent the</w:t>
      </w:r>
      <w:r>
        <w:t xml:space="preserve"> </w:t>
      </w:r>
      <w:r>
        <w:t xml:space="preserve">parameters in effect at the publication of this whitepaper. Future</w:t>
      </w:r>
      <w:r>
        <w:t xml:space="preserve"> </w:t>
      </w:r>
      <w:r>
        <w:t xml:space="preserve">amendments are published at theailab.org/tip-protocol and reflected</w:t>
      </w:r>
      <w:r>
        <w:t xml:space="preserve"> </w:t>
      </w:r>
      <w:r>
        <w:t xml:space="preserve">in subsequent versions of the canonical Specification and of this</w:t>
      </w:r>
      <w:r>
        <w:t xml:space="preserve"> </w:t>
      </w:r>
      <w:r>
        <w:t xml:space="preserve">whitepaper.</w:t>
      </w:r>
    </w:p>
    <w:bookmarkEnd w:id="139"/>
    <w:bookmarkStart w:id="140" w:name="blocking-items-b1-through-b6"/>
    <w:p>
      <w:pPr>
        <w:pStyle w:val="Heading2"/>
      </w:pPr>
      <w:r>
        <w:t xml:space="preserve">6.4 Blocking Items B1 through B6</w:t>
      </w:r>
    </w:p>
    <w:p>
      <w:pPr>
        <w:pStyle w:val="FirstParagraph"/>
      </w:pPr>
      <w:r>
        <w:t xml:space="preserve">A Blocking Item is a defined condition that, when present, materially</w:t>
      </w:r>
      <w:r>
        <w:t xml:space="preserve"> </w:t>
      </w:r>
      <w:r>
        <w:t xml:space="preserve">constrains or suspends the operational utility of a CTID. Blocking Items</w:t>
      </w:r>
      <w:r>
        <w:t xml:space="preserve"> </w:t>
      </w:r>
      <w:r>
        <w:t xml:space="preserve">operate alongside the Trust Score; a CTID may have a high Trust Score</w:t>
      </w:r>
      <w:r>
        <w:t xml:space="preserve"> </w:t>
      </w:r>
      <w:r>
        <w:t xml:space="preserve">and an active Blocking Item, in which case the reader-facing</w:t>
      </w:r>
      <w:r>
        <w:t xml:space="preserve"> </w:t>
      </w:r>
      <w:r>
        <w:t xml:space="preserve">presentation reflects the Blocking Item.</w:t>
      </w:r>
    </w:p>
    <w:p>
      <w:pPr>
        <w:pStyle w:val="BodyText"/>
      </w:pPr>
      <w:r>
        <w:t xml:space="preserve">The Blocking Items at the publication of this whitepaper are as</w:t>
      </w:r>
      <w:r>
        <w:t xml:space="preserve"> </w:t>
      </w:r>
      <w:r>
        <w:t xml:space="preserve">follows.</w:t>
      </w:r>
    </w:p>
    <w:p>
      <w:pPr>
        <w:pStyle w:val="BodyText"/>
      </w:pPr>
      <w:r>
        <w:rPr>
          <w:b/>
          <w:bCs/>
        </w:rPr>
        <w:t xml:space="preserve">B1: Pending Adverse Adjudication.</w:t>
      </w:r>
      <w:r>
        <w:t xml:space="preserve"> </w:t>
      </w:r>
      <w:r>
        <w:t xml:space="preserve">An open</w:t>
      </w:r>
      <w:r>
        <w:t xml:space="preserve"> </w:t>
      </w:r>
      <w:r>
        <w:t xml:space="preserve">adjudication proceeding alleging conduct that, if found, would result in</w:t>
      </w:r>
      <w:r>
        <w:t xml:space="preserve"> </w:t>
      </w:r>
      <w:r>
        <w:t xml:space="preserve">suspension or revocation. The CTID’s operational utility is preserved</w:t>
      </w:r>
      <w:r>
        <w:t xml:space="preserve"> </w:t>
      </w:r>
      <w:r>
        <w:t xml:space="preserve">during the proceeding; the reader-facing presentation displays a Pending</w:t>
      </w:r>
      <w:r>
        <w:t xml:space="preserve"> </w:t>
      </w:r>
      <w:r>
        <w:t xml:space="preserve">Adverse Adjudication marker, with a link to the proceeding’s docket</w:t>
      </w:r>
      <w:r>
        <w:t xml:space="preserve"> </w:t>
      </w:r>
      <w:r>
        <w:t xml:space="preserve">where the docket is public.</w:t>
      </w:r>
    </w:p>
    <w:p>
      <w:pPr>
        <w:pStyle w:val="BodyText"/>
      </w:pPr>
      <w:r>
        <w:rPr>
          <w:b/>
          <w:bCs/>
        </w:rPr>
        <w:t xml:space="preserve">B2: Verification Provider Under Suspension.</w:t>
      </w:r>
      <w:r>
        <w:t xml:space="preserve"> </w:t>
      </w:r>
      <w:r>
        <w:t xml:space="preserve">The</w:t>
      </w:r>
      <w:r>
        <w:t xml:space="preserve"> </w:t>
      </w:r>
      <w:r>
        <w:t xml:space="preserve">issuing Verification Provider has been suspended by the AI Trust</w:t>
      </w:r>
      <w:r>
        <w:t xml:space="preserve"> </w:t>
      </w:r>
      <w:r>
        <w:t xml:space="preserve">Council. CTIDs issued by the suspended Verification Provider operate</w:t>
      </w:r>
      <w:r>
        <w:t xml:space="preserve"> </w:t>
      </w:r>
      <w:r>
        <w:t xml:space="preserve">with a B2 marker. The B2 marker reflects an institutional, not personal,</w:t>
      </w:r>
      <w:r>
        <w:t xml:space="preserve"> </w:t>
      </w:r>
      <w:r>
        <w:t xml:space="preserve">concern; the CTID holder’s individual conduct is not the basis for</w:t>
      </w:r>
      <w:r>
        <w:t xml:space="preserve"> </w:t>
      </w:r>
      <w:r>
        <w:t xml:space="preserve">B2.</w:t>
      </w:r>
    </w:p>
    <w:p>
      <w:pPr>
        <w:pStyle w:val="BodyText"/>
      </w:pPr>
      <w:r>
        <w:rPr>
          <w:b/>
          <w:bCs/>
        </w:rPr>
        <w:t xml:space="preserve">B3: Cryptographic Compromise.</w:t>
      </w:r>
      <w:r>
        <w:t xml:space="preserve"> </w:t>
      </w:r>
      <w:r>
        <w:t xml:space="preserve">A determination by</w:t>
      </w:r>
      <w:r>
        <w:t xml:space="preserve"> </w:t>
      </w:r>
      <w:r>
        <w:t xml:space="preserve">the issuing Verification Provider or by the AI Trust Council that the</w:t>
      </w:r>
      <w:r>
        <w:t xml:space="preserve"> </w:t>
      </w:r>
      <w:r>
        <w:t xml:space="preserve">CTID’s signing capability has been compromised. The CTID is suspended</w:t>
      </w:r>
      <w:r>
        <w:t xml:space="preserve"> </w:t>
      </w:r>
      <w:r>
        <w:t xml:space="preserve">pending revocation. Signatures produced after the B3 timestamp are</w:t>
      </w:r>
      <w:r>
        <w:t xml:space="preserve"> </w:t>
      </w:r>
      <w:r>
        <w:t xml:space="preserve">treated as suspect by the protocol.</w:t>
      </w:r>
    </w:p>
    <w:p>
      <w:pPr>
        <w:pStyle w:val="BodyText"/>
      </w:pPr>
      <w:r>
        <w:rPr>
          <w:b/>
          <w:bCs/>
        </w:rPr>
        <w:t xml:space="preserve">B4: Court or Regulatory Order.</w:t>
      </w:r>
      <w:r>
        <w:t xml:space="preserve"> </w:t>
      </w:r>
      <w:r>
        <w:t xml:space="preserve">A binding order from</w:t>
      </w:r>
      <w:r>
        <w:t xml:space="preserve"> </w:t>
      </w:r>
      <w:r>
        <w:t xml:space="preserve">a court or regulatory authority of competent jurisdiction directed at</w:t>
      </w:r>
      <w:r>
        <w:t xml:space="preserve"> </w:t>
      </w:r>
      <w:r>
        <w:t xml:space="preserve">the CTID. The B4 marker identifies the issuing authority and (subject to</w:t>
      </w:r>
      <w:r>
        <w:t xml:space="preserve"> </w:t>
      </w:r>
      <w:r>
        <w:t xml:space="preserve">the constraints of the order) the substantive basis for the order. The</w:t>
      </w:r>
      <w:r>
        <w:t xml:space="preserve"> </w:t>
      </w:r>
      <w:r>
        <w:t xml:space="preserve">CTID’s operational utility is constrained in accordance with the terms</w:t>
      </w:r>
      <w:r>
        <w:t xml:space="preserve"> </w:t>
      </w:r>
      <w:r>
        <w:t xml:space="preserve">of the order.</w:t>
      </w:r>
    </w:p>
    <w:p>
      <w:pPr>
        <w:pStyle w:val="BodyText"/>
      </w:pPr>
      <w:r>
        <w:rPr>
          <w:b/>
          <w:bCs/>
        </w:rPr>
        <w:t xml:space="preserve">B5: Final Adverse Adjudication.</w:t>
      </w:r>
      <w:r>
        <w:t xml:space="preserve"> </w:t>
      </w:r>
      <w:r>
        <w:t xml:space="preserve">A final</w:t>
      </w:r>
      <w:r>
        <w:t xml:space="preserve"> </w:t>
      </w:r>
      <w:r>
        <w:t xml:space="preserve">determination by a bonded jury adverse to the CTID under a procedure</w:t>
      </w:r>
      <w:r>
        <w:t xml:space="preserve"> </w:t>
      </w:r>
      <w:r>
        <w:t xml:space="preserve">described in this Section. The B5 marker is published and is durable;</w:t>
      </w:r>
      <w:r>
        <w:t xml:space="preserve"> </w:t>
      </w:r>
      <w:r>
        <w:t xml:space="preserve">the marker may be lifted only by a subsequent successful appeal or by</w:t>
      </w:r>
      <w:r>
        <w:t xml:space="preserve"> </w:t>
      </w:r>
      <w:r>
        <w:t xml:space="preserve">the operation of a remediation procedure described in the Charter.</w:t>
      </w:r>
    </w:p>
    <w:p>
      <w:pPr>
        <w:pStyle w:val="BodyText"/>
      </w:pPr>
      <w:r>
        <w:rPr>
          <w:b/>
          <w:bCs/>
        </w:rPr>
        <w:t xml:space="preserve">B6: Material Misrepresentation in Verification.</w:t>
      </w:r>
      <w:r>
        <w:t xml:space="preserve"> </w:t>
      </w:r>
      <w:r>
        <w:t xml:space="preserve">A</w:t>
      </w:r>
      <w:r>
        <w:t xml:space="preserve"> </w:t>
      </w:r>
      <w:r>
        <w:t xml:space="preserve">determination by the issuing Verification Provider that the identity</w:t>
      </w:r>
      <w:r>
        <w:t xml:space="preserve"> </w:t>
      </w:r>
      <w:r>
        <w:t xml:space="preserve">verification supporting the CTID’s issuance was materially</w:t>
      </w:r>
      <w:r>
        <w:t xml:space="preserve"> </w:t>
      </w:r>
      <w:r>
        <w:t xml:space="preserve">misrepresented. The CTID is suspended pending revocation. Successor</w:t>
      </w:r>
      <w:r>
        <w:t xml:space="preserve"> </w:t>
      </w:r>
      <w:r>
        <w:t xml:space="preserve">issuance, where permitted, follows the procedure of Section 4.3.4 of</w:t>
      </w:r>
      <w:r>
        <w:t xml:space="preserve"> </w:t>
      </w:r>
      <w:r>
        <w:t xml:space="preserve">Part IV.</w:t>
      </w:r>
    </w:p>
    <w:p>
      <w:pPr>
        <w:pStyle w:val="BodyText"/>
      </w:pPr>
      <w:r>
        <w:t xml:space="preserve">Blocking Items B3 and B6 are revocation pathways: the operational</w:t>
      </w:r>
      <w:r>
        <w:t xml:space="preserve"> </w:t>
      </w:r>
      <w:r>
        <w:t xml:space="preserve">result is revocation of the CTID, with the corresponding loss of</w:t>
      </w:r>
      <w:r>
        <w:t xml:space="preserve"> </w:t>
      </w:r>
      <w:r>
        <w:t xml:space="preserve">operational utility. Blocking Items B1, B2, B4, and B5 are constraints</w:t>
      </w:r>
      <w:r>
        <w:t xml:space="preserve"> </w:t>
      </w:r>
      <w:r>
        <w:t xml:space="preserve">on operational utility short of revocation, except where the underlying</w:t>
      </w:r>
      <w:r>
        <w:t xml:space="preserve"> </w:t>
      </w:r>
      <w:r>
        <w:t xml:space="preserve">basis (a court order, a final adjudication) operates as a</w:t>
      </w:r>
      <w:r>
        <w:t xml:space="preserve"> </w:t>
      </w:r>
      <w:r>
        <w:t xml:space="preserve">revocation.</w:t>
      </w:r>
    </w:p>
    <w:bookmarkEnd w:id="140"/>
    <w:bookmarkStart w:id="144" w:name="bonded-jury-adjudication"/>
    <w:p>
      <w:pPr>
        <w:pStyle w:val="Heading2"/>
      </w:pPr>
      <w:r>
        <w:t xml:space="preserve">6.5 Bonded jury adjudication</w:t>
      </w:r>
    </w:p>
    <w:p>
      <w:pPr>
        <w:pStyle w:val="FirstParagraph"/>
      </w:pPr>
      <w:r>
        <w:t xml:space="preserve">The principal mechanism by which a substantive dispute concerning a</w:t>
      </w:r>
      <w:r>
        <w:t xml:space="preserve"> </w:t>
      </w:r>
      <w:r>
        <w:t xml:space="preserve">CTID is resolved is bonded jury adjudication. The procedure is designed</w:t>
      </w:r>
      <w:r>
        <w:t xml:space="preserve"> </w:t>
      </w:r>
      <w:r>
        <w:t xml:space="preserve">to supply a human determination, on the merits, with a structural</w:t>
      </w:r>
      <w:r>
        <w:t xml:space="preserve"> </w:t>
      </w:r>
      <w:r>
        <w:t xml:space="preserve">commitment by the determining jurors to the integrity of the</w:t>
      </w:r>
      <w:r>
        <w:t xml:space="preserve"> </w:t>
      </w:r>
      <w:r>
        <w:t xml:space="preserve">determination.</w:t>
      </w:r>
    </w:p>
    <w:bookmarkStart w:id="141" w:name="the-bonded-juror"/>
    <w:p>
      <w:pPr>
        <w:pStyle w:val="Heading3"/>
      </w:pPr>
      <w:r>
        <w:t xml:space="preserve">6.5.1 The bonded juror</w:t>
      </w:r>
    </w:p>
    <w:p>
      <w:pPr>
        <w:pStyle w:val="FirstParagraph"/>
      </w:pPr>
      <w:r>
        <w:t xml:space="preserve">A bonded juror is a natural person who has:</w:t>
      </w:r>
    </w:p>
    <w:p>
      <w:pPr>
        <w:pStyle w:val="Compact"/>
        <w:numPr>
          <w:ilvl w:val="0"/>
          <w:numId w:val="1015"/>
        </w:numPr>
      </w:pPr>
      <w:r>
        <w:t xml:space="preserve">Obtained a high-assurance CTID from an accredited Verification</w:t>
      </w:r>
      <w:r>
        <w:t xml:space="preserve"> </w:t>
      </w:r>
      <w:r>
        <w:t xml:space="preserve">Provider.</w:t>
      </w:r>
    </w:p>
    <w:p>
      <w:pPr>
        <w:pStyle w:val="Compact"/>
        <w:numPr>
          <w:ilvl w:val="0"/>
          <w:numId w:val="1015"/>
        </w:numPr>
      </w:pPr>
      <w:r>
        <w:t xml:space="preserve">Submitted to the bonded juror qualification procedure published by</w:t>
      </w:r>
      <w:r>
        <w:t xml:space="preserve"> </w:t>
      </w:r>
      <w:r>
        <w:t xml:space="preserve">the AI Trust Council, including a background review and a topic-area</w:t>
      </w:r>
      <w:r>
        <w:t xml:space="preserve"> </w:t>
      </w:r>
      <w:r>
        <w:t xml:space="preserve">screening.</w:t>
      </w:r>
    </w:p>
    <w:p>
      <w:pPr>
        <w:pStyle w:val="Compact"/>
        <w:numPr>
          <w:ilvl w:val="0"/>
          <w:numId w:val="1015"/>
        </w:numPr>
      </w:pPr>
      <w:r>
        <w:t xml:space="preserve">Posted a bond, denominated in the manner published by the AI Trust</w:t>
      </w:r>
      <w:r>
        <w:t xml:space="preserve"> </w:t>
      </w:r>
      <w:r>
        <w:t xml:space="preserve">Council, forfeit on a determination by the Charter procedure that the</w:t>
      </w:r>
      <w:r>
        <w:t xml:space="preserve"> </w:t>
      </w:r>
      <w:r>
        <w:t xml:space="preserve">bonded juror has acted in bad faith.</w:t>
      </w:r>
    </w:p>
    <w:p>
      <w:pPr>
        <w:pStyle w:val="Compact"/>
        <w:numPr>
          <w:ilvl w:val="0"/>
          <w:numId w:val="1015"/>
        </w:numPr>
      </w:pPr>
      <w:r>
        <w:t xml:space="preserve">Accepted the bonded juror code of conduct, including the conflict</w:t>
      </w:r>
      <w:r>
        <w:t xml:space="preserve"> </w:t>
      </w:r>
      <w:r>
        <w:t xml:space="preserve">disclosure and recusal requirements applicable to Council Members.</w:t>
      </w:r>
    </w:p>
    <w:p>
      <w:pPr>
        <w:pStyle w:val="FirstParagraph"/>
      </w:pPr>
      <w:r>
        <w:t xml:space="preserve">The bonded juror panel is drawn from a population of bonded jurors</w:t>
      </w:r>
      <w:r>
        <w:t xml:space="preserve"> </w:t>
      </w:r>
      <w:r>
        <w:t xml:space="preserve">selected for representativeness across jurisdictions, languages, and</w:t>
      </w:r>
      <w:r>
        <w:t xml:space="preserve"> </w:t>
      </w:r>
      <w:r>
        <w:t xml:space="preserve">subject-matter expertise. A panel for a given dispute comprises three or</w:t>
      </w:r>
      <w:r>
        <w:t xml:space="preserve"> </w:t>
      </w:r>
      <w:r>
        <w:t xml:space="preserve">five bonded jurors, depending on the severity category of the dispute,</w:t>
      </w:r>
      <w:r>
        <w:t xml:space="preserve"> </w:t>
      </w:r>
      <w:r>
        <w:t xml:space="preserve">selected randomly from the qualified panel of jurors who have not</w:t>
      </w:r>
      <w:r>
        <w:t xml:space="preserve"> </w:t>
      </w:r>
      <w:r>
        <w:t xml:space="preserve">declared a conflict.</w:t>
      </w:r>
    </w:p>
    <w:bookmarkEnd w:id="141"/>
    <w:bookmarkStart w:id="142" w:name="procedure"/>
    <w:p>
      <w:pPr>
        <w:pStyle w:val="Heading3"/>
      </w:pPr>
      <w:r>
        <w:t xml:space="preserve">6.5.2 Procedure</w:t>
      </w:r>
    </w:p>
    <w:p>
      <w:pPr>
        <w:pStyle w:val="FirstParagraph"/>
      </w:pPr>
      <w:r>
        <w:t xml:space="preserve">A dispute is initiated by a complainant submitting a complaint to the</w:t>
      </w:r>
      <w:r>
        <w:t xml:space="preserve"> </w:t>
      </w:r>
      <w:r>
        <w:t xml:space="preserve">AI Trust Council. The complaint identifies the respondent CTID,</w:t>
      </w:r>
      <w:r>
        <w:t xml:space="preserve"> </w:t>
      </w:r>
      <w:r>
        <w:t xml:space="preserve">identifies the substantive basis for the complaint, and supplies the</w:t>
      </w:r>
      <w:r>
        <w:t xml:space="preserve"> </w:t>
      </w:r>
      <w:r>
        <w:t xml:space="preserve">evidence the complainant relies on. The complaint is published, redacted</w:t>
      </w:r>
      <w:r>
        <w:t xml:space="preserve"> </w:t>
      </w:r>
      <w:r>
        <w:t xml:space="preserve">only for personal data of the complainant where the complainant has</w:t>
      </w:r>
      <w:r>
        <w:t xml:space="preserve"> </w:t>
      </w:r>
      <w:r>
        <w:t xml:space="preserve">elected to remain pseudonymous and for confidential commercial</w:t>
      </w:r>
      <w:r>
        <w:t xml:space="preserve"> </w:t>
      </w:r>
      <w:r>
        <w:t xml:space="preserve">information of third parties.</w:t>
      </w:r>
    </w:p>
    <w:p>
      <w:pPr>
        <w:pStyle w:val="BodyText"/>
      </w:pPr>
      <w:r>
        <w:t xml:space="preserve">The respondent is notified and is afforded an opportunity to respond.</w:t>
      </w:r>
      <w:r>
        <w:t xml:space="preserve"> </w:t>
      </w:r>
      <w:r>
        <w:t xml:space="preserve">The respondent’s response is published on the same basis.</w:t>
      </w:r>
    </w:p>
    <w:p>
      <w:pPr>
        <w:pStyle w:val="BodyText"/>
      </w:pPr>
      <w:r>
        <w:t xml:space="preserve">A bonded jury panel is convened. The panel reviews the complaint, the</w:t>
      </w:r>
      <w:r>
        <w:t xml:space="preserve"> </w:t>
      </w:r>
      <w:r>
        <w:t xml:space="preserve">response, and any evidence submitted. The panel may request additional</w:t>
      </w:r>
      <w:r>
        <w:t xml:space="preserve"> </w:t>
      </w:r>
      <w:r>
        <w:t xml:space="preserve">information from either party, may request technical analysis from the</w:t>
      </w:r>
      <w:r>
        <w:t xml:space="preserve"> </w:t>
      </w:r>
      <w:r>
        <w:t xml:space="preserve">AI Lab or from a third party retained for the purpose, and may, in the</w:t>
      </w:r>
      <w:r>
        <w:t xml:space="preserve"> </w:t>
      </w:r>
      <w:r>
        <w:t xml:space="preserve">case of complex matters, hold a hearing at which the parties are heard</w:t>
      </w:r>
      <w:r>
        <w:t xml:space="preserve"> </w:t>
      </w:r>
      <w:r>
        <w:t xml:space="preserve">in writing or in audio.</w:t>
      </w:r>
    </w:p>
    <w:p>
      <w:pPr>
        <w:pStyle w:val="BodyText"/>
      </w:pPr>
      <w:r>
        <w:t xml:space="preserve">The panel issues a final determination. The determination identifies</w:t>
      </w:r>
      <w:r>
        <w:t xml:space="preserve"> </w:t>
      </w:r>
      <w:r>
        <w:t xml:space="preserve">the issues, the evidence, the panel’s findings of fact, and the panel’s</w:t>
      </w:r>
      <w:r>
        <w:t xml:space="preserve"> </w:t>
      </w:r>
      <w:r>
        <w:t xml:space="preserve">disposition. The disposition is one of: complaint dismissed; complaint</w:t>
      </w:r>
      <w:r>
        <w:t xml:space="preserve"> </w:t>
      </w:r>
      <w:r>
        <w:t xml:space="preserve">upheld with no operational effect on the CTID; complaint upheld with a</w:t>
      </w:r>
      <w:r>
        <w:t xml:space="preserve"> </w:t>
      </w:r>
      <w:r>
        <w:t xml:space="preserve">defined operational effect on the CTID (Trust Score reduction; B1 to B6</w:t>
      </w:r>
      <w:r>
        <w:t xml:space="preserve"> </w:t>
      </w:r>
      <w:r>
        <w:t xml:space="preserve">marker); complaint upheld with revocation of the CTID. The determination</w:t>
      </w:r>
      <w:r>
        <w:t xml:space="preserve"> </w:t>
      </w:r>
      <w:r>
        <w:t xml:space="preserve">is published. The determination is signed by the bonded jurors and is</w:t>
      </w:r>
      <w:r>
        <w:t xml:space="preserve"> </w:t>
      </w:r>
      <w:r>
        <w:t xml:space="preserve">recorded on the federated DAG.</w:t>
      </w:r>
    </w:p>
    <w:bookmarkEnd w:id="142"/>
    <w:bookmarkStart w:id="143" w:name="ai-assisted-pre-classification"/>
    <w:p>
      <w:pPr>
        <w:pStyle w:val="Heading3"/>
      </w:pPr>
      <w:r>
        <w:t xml:space="preserve">6.5.3 AI-assisted pre-classification</w:t>
      </w:r>
    </w:p>
    <w:p>
      <w:pPr>
        <w:pStyle w:val="FirstParagraph"/>
      </w:pPr>
      <w:r>
        <w:t xml:space="preserve">The bonded jury panel may, in its discretion, use AI-assisted</w:t>
      </w:r>
      <w:r>
        <w:t xml:space="preserve"> </w:t>
      </w:r>
      <w:r>
        <w:t xml:space="preserve">pre-classification tools to triage incoming complaints, to identify the</w:t>
      </w:r>
      <w:r>
        <w:t xml:space="preserve"> </w:t>
      </w:r>
      <w:r>
        <w:t xml:space="preserve">substantive issues, and to identify analogous prior determinations. The</w:t>
      </w:r>
      <w:r>
        <w:t xml:space="preserve"> </w:t>
      </w:r>
      <w:r>
        <w:t xml:space="preserve">use of AI-assisted pre-classification is a procedural aid; it does not</w:t>
      </w:r>
      <w:r>
        <w:t xml:space="preserve"> </w:t>
      </w:r>
      <w:r>
        <w:t xml:space="preserve">displace the panel’s responsibility for the determination. The use is</w:t>
      </w:r>
      <w:r>
        <w:t xml:space="preserve"> </w:t>
      </w:r>
      <w:r>
        <w:t xml:space="preserve">recorded in the determination.</w:t>
      </w:r>
    </w:p>
    <w:p>
      <w:pPr>
        <w:pStyle w:val="BodyText"/>
      </w:pPr>
      <w:r>
        <w:t xml:space="preserve">The human-in-the-loop structure satisfies the human oversight</w:t>
      </w:r>
      <w:r>
        <w:t xml:space="preserve"> </w:t>
      </w:r>
      <w:r>
        <w:t xml:space="preserve">requirement of Article 14 of the EU AI Act in the event that any</w:t>
      </w:r>
      <w:r>
        <w:t xml:space="preserve"> </w:t>
      </w:r>
      <w:r>
        <w:t xml:space="preserve">AI-assisted component of the adjudication path is, on a future</w:t>
      </w:r>
      <w:r>
        <w:t xml:space="preserve"> </w:t>
      </w:r>
      <w:r>
        <w:t xml:space="preserve">regulatory determination, classified as a high-risk AI system.</w:t>
      </w:r>
    </w:p>
    <w:bookmarkEnd w:id="143"/>
    <w:bookmarkEnd w:id="144"/>
    <w:bookmarkStart w:id="145" w:name="appeals"/>
    <w:p>
      <w:pPr>
        <w:pStyle w:val="Heading2"/>
      </w:pPr>
      <w:r>
        <w:t xml:space="preserve">6.6 Appeals</w:t>
      </w:r>
    </w:p>
    <w:p>
      <w:pPr>
        <w:pStyle w:val="FirstParagraph"/>
      </w:pPr>
      <w:r>
        <w:t xml:space="preserve">A party adversely affected by a final determination of a bonded jury</w:t>
      </w:r>
      <w:r>
        <w:t xml:space="preserve"> </w:t>
      </w:r>
      <w:r>
        <w:t xml:space="preserve">panel may appeal to the AI Trust Council on the grounds set out in the</w:t>
      </w:r>
      <w:r>
        <w:t xml:space="preserve"> </w:t>
      </w:r>
      <w:r>
        <w:t xml:space="preserve">Charter, including manifest error of fact, manifest error of law,</w:t>
      </w:r>
      <w:r>
        <w:t xml:space="preserve"> </w:t>
      </w:r>
      <w:r>
        <w:t xml:space="preserve">procedural irregularity material to the determination, or the discovery</w:t>
      </w:r>
      <w:r>
        <w:t xml:space="preserve"> </w:t>
      </w:r>
      <w:r>
        <w:t xml:space="preserve">of new evidence not reasonably available at the time of the original</w:t>
      </w:r>
      <w:r>
        <w:t xml:space="preserve"> </w:t>
      </w:r>
      <w:r>
        <w:t xml:space="preserve">determination. The appeal is heard by a panel of three Members of</w:t>
      </w:r>
      <w:r>
        <w:t xml:space="preserve"> </w:t>
      </w:r>
      <w:r>
        <w:t xml:space="preserve">the Council, none of whom were involved in the original determination.</w:t>
      </w:r>
      <w:r>
        <w:t xml:space="preserve"> </w:t>
      </w:r>
      <w:r>
        <w:t xml:space="preserve">The appeal panel may affirm, modify, or reverse the original</w:t>
      </w:r>
      <w:r>
        <w:t xml:space="preserve"> </w:t>
      </w:r>
      <w:r>
        <w:t xml:space="preserve">determination, or may remit the matter to a new bonded jury panel.</w:t>
      </w:r>
    </w:p>
    <w:p>
      <w:pPr>
        <w:pStyle w:val="BodyText"/>
      </w:pPr>
      <w:r>
        <w:t xml:space="preserve">The appeal is the final administrative remedy within the protocol.</w:t>
      </w:r>
      <w:r>
        <w:t xml:space="preserve"> </w:t>
      </w:r>
      <w:r>
        <w:t xml:space="preserve">Parties retain such judicial remedies as may be available to them under</w:t>
      </w:r>
      <w:r>
        <w:t xml:space="preserve"> </w:t>
      </w:r>
      <w:r>
        <w:t xml:space="preserve">the law of the relevant jurisdiction; the protocol does not contract out</w:t>
      </w:r>
      <w:r>
        <w:t xml:space="preserve"> </w:t>
      </w:r>
      <w:r>
        <w:t xml:space="preserve">of judicial remedies.</w:t>
      </w:r>
    </w:p>
    <w:bookmarkEnd w:id="145"/>
    <w:bookmarkStart w:id="149" w:name="reader-facing-display"/>
    <w:p>
      <w:pPr>
        <w:pStyle w:val="Heading2"/>
      </w:pPr>
      <w:r>
        <w:t xml:space="preserve">6.7 Reader-facing display</w:t>
      </w:r>
    </w:p>
    <w:bookmarkStart w:id="146" w:name="the-trust-score-badge"/>
    <w:p>
      <w:pPr>
        <w:pStyle w:val="Heading3"/>
      </w:pPr>
      <w:r>
        <w:t xml:space="preserve">6.7.1 The Trust Score badge</w:t>
      </w:r>
    </w:p>
    <w:p>
      <w:pPr>
        <w:pStyle w:val="FirstParagraph"/>
      </w:pPr>
      <w:r>
        <w:t xml:space="preserve">The protocol publishes a reader-facing badge displayed alongside the</w:t>
      </w:r>
      <w:r>
        <w:t xml:space="preserve"> </w:t>
      </w:r>
      <w:r>
        <w:t xml:space="preserve">content unit. The badge is implemented as the</w:t>
      </w:r>
      <w:r>
        <w:t xml:space="preserve"> </w:t>
      </w:r>
      <w:r>
        <w:rPr>
          <w:rStyle w:val="VerbatimChar"/>
        </w:rPr>
        <w:t xml:space="preserve">&lt;tip-badge&gt;</w:t>
      </w:r>
      <w:r>
        <w:t xml:space="preserve"> </w:t>
      </w:r>
      <w:r>
        <w:t xml:space="preserve">web component, as the browser extension</w:t>
      </w:r>
      <w:r>
        <w:t xml:space="preserve"> </w:t>
      </w:r>
      <w:r>
        <w:t xml:space="preserve">panel, and as the embedded creator integration on supporting platforms.</w:t>
      </w:r>
      <w:r>
        <w:t xml:space="preserve"> </w:t>
      </w:r>
      <w:r>
        <w:t xml:space="preserve">The badge displays, in its default mode:</w:t>
      </w:r>
    </w:p>
    <w:p>
      <w:pPr>
        <w:pStyle w:val="Compact"/>
        <w:numPr>
          <w:ilvl w:val="0"/>
          <w:numId w:val="1016"/>
        </w:numPr>
      </w:pPr>
      <w:r>
        <w:t xml:space="preserve">The CTID of the signer, in the formatted hyphenated</w:t>
      </w:r>
      <w:r>
        <w:t xml:space="preserve"> </w:t>
      </w:r>
      <w:r>
        <w:t xml:space="preserve">representation.</w:t>
      </w:r>
    </w:p>
    <w:p>
      <w:pPr>
        <w:pStyle w:val="Compact"/>
        <w:numPr>
          <w:ilvl w:val="0"/>
          <w:numId w:val="1016"/>
        </w:numPr>
      </w:pPr>
      <w:r>
        <w:t xml:space="preserve">The Trust Score tier (HIGHLY_TRUSTED, TRUSTED, REVIEW_ADVISED,</w:t>
      </w:r>
      <w:r>
        <w:t xml:space="preserve"> </w:t>
      </w:r>
      <w:r>
        <w:t xml:space="preserve">LOW_TRUST, NOT_TRUSTED) as defined in Section 6.3.</w:t>
      </w:r>
    </w:p>
    <w:p>
      <w:pPr>
        <w:pStyle w:val="Compact"/>
        <w:numPr>
          <w:ilvl w:val="0"/>
          <w:numId w:val="1016"/>
        </w:numPr>
      </w:pPr>
      <w:r>
        <w:t xml:space="preserve">The Origin Code (OH, AA, AG, MX).</w:t>
      </w:r>
    </w:p>
    <w:p>
      <w:pPr>
        <w:pStyle w:val="Compact"/>
        <w:numPr>
          <w:ilvl w:val="0"/>
          <w:numId w:val="1016"/>
        </w:numPr>
      </w:pPr>
      <w:r>
        <w:t xml:space="preserve">The Global Seal of Trust where applicable (Section 6.8).</w:t>
      </w:r>
    </w:p>
    <w:p>
      <w:pPr>
        <w:pStyle w:val="Compact"/>
        <w:numPr>
          <w:ilvl w:val="0"/>
          <w:numId w:val="1016"/>
        </w:numPr>
      </w:pPr>
      <w:r>
        <w:t xml:space="preserve">On tap or hover, the numeric Trust Score, the version number, and a</w:t>
      </w:r>
      <w:r>
        <w:t xml:space="preserve"> </w:t>
      </w:r>
      <w:r>
        <w:t xml:space="preserve">link to the version history and to the jurisdiction of the issuing</w:t>
      </w:r>
      <w:r>
        <w:t xml:space="preserve"> </w:t>
      </w:r>
      <w:r>
        <w:t xml:space="preserve">Verification Provider.</w:t>
      </w:r>
    </w:p>
    <w:bookmarkEnd w:id="146"/>
    <w:bookmarkStart w:id="147" w:name="display-modes"/>
    <w:p>
      <w:pPr>
        <w:pStyle w:val="Heading3"/>
      </w:pPr>
      <w:r>
        <w:t xml:space="preserve">6.7.2 Display modes</w:t>
      </w:r>
    </w:p>
    <w:p>
      <w:pPr>
        <w:pStyle w:val="FirstParagraph"/>
      </w:pPr>
      <w:r>
        <w:t xml:space="preserve">The badge supports three display modes corresponding to the platform</w:t>
      </w:r>
      <w:r>
        <w:t xml:space="preserve"> </w:t>
      </w:r>
      <w:r>
        <w:t xml:space="preserve">and reader context:</w:t>
      </w:r>
    </w:p>
    <w:p>
      <w:pPr>
        <w:pStyle w:val="BodyText"/>
      </w:pPr>
      <w:r>
        <w:rPr>
          <w:b/>
          <w:bCs/>
        </w:rPr>
        <w:t xml:space="preserve">Standard mode.</w:t>
      </w:r>
      <w:r>
        <w:t xml:space="preserve"> </w:t>
      </w:r>
      <w:r>
        <w:t xml:space="preserve">The full badge as described in</w:t>
      </w:r>
      <w:r>
        <w:t xml:space="preserve"> </w:t>
      </w:r>
      <w:r>
        <w:t xml:space="preserve">Section 6.7.1, suitable for desktop and mobile web surfaces.</w:t>
      </w:r>
    </w:p>
    <w:p>
      <w:pPr>
        <w:pStyle w:val="BodyText"/>
      </w:pPr>
      <w:r>
        <w:rPr>
          <w:b/>
          <w:bCs/>
        </w:rPr>
        <w:t xml:space="preserve">Compact mode.</w:t>
      </w:r>
      <w:r>
        <w:t xml:space="preserve"> </w:t>
      </w:r>
      <w:r>
        <w:t xml:space="preserve">A reduced badge displaying the Trust</w:t>
      </w:r>
      <w:r>
        <w:t xml:space="preserve"> </w:t>
      </w:r>
      <w:r>
        <w:t xml:space="preserve">Score class and the Origin Code only, with full information available on</w:t>
      </w:r>
      <w:r>
        <w:t xml:space="preserve"> </w:t>
      </w:r>
      <w:r>
        <w:t xml:space="preserve">tap. Suitable for surfaces with constrained vertical or horizontal real</w:t>
      </w:r>
      <w:r>
        <w:t xml:space="preserve"> </w:t>
      </w:r>
      <w:r>
        <w:t xml:space="preserve">estate.</w:t>
      </w:r>
    </w:p>
    <w:p>
      <w:pPr>
        <w:pStyle w:val="BodyText"/>
      </w:pPr>
      <w:r>
        <w:rPr>
          <w:b/>
          <w:bCs/>
        </w:rPr>
        <w:t xml:space="preserve">Minimal mode.</w:t>
      </w:r>
      <w:r>
        <w:t xml:space="preserve"> </w:t>
      </w:r>
      <w:r>
        <w:t xml:space="preserve">A single-character indicator (the</w:t>
      </w:r>
      <w:r>
        <w:t xml:space="preserve"> </w:t>
      </w:r>
      <w:r>
        <w:t xml:space="preserve">Global Seal of Trust character, the Verified-class character, or the</w:t>
      </w:r>
      <w:r>
        <w:t xml:space="preserve"> </w:t>
      </w:r>
      <w:r>
        <w:t xml:space="preserve">Blocked-class character) suitable for inline display within text or</w:t>
      </w:r>
      <w:r>
        <w:t xml:space="preserve"> </w:t>
      </w:r>
      <w:r>
        <w:t xml:space="preserve">alongside short-form content.</w:t>
      </w:r>
    </w:p>
    <w:p>
      <w:pPr>
        <w:pStyle w:val="BodyText"/>
      </w:pPr>
      <w:r>
        <w:t xml:space="preserve">Platforms and publishers select the display mode appropriate to their</w:t>
      </w:r>
      <w:r>
        <w:t xml:space="preserve"> </w:t>
      </w:r>
      <w:r>
        <w:t xml:space="preserve">surface. The reference rendering of each mode is published in the</w:t>
      </w:r>
      <w:r>
        <w:t xml:space="preserve"> </w:t>
      </w:r>
      <w:r>
        <w:t xml:space="preserve">canonical Specification.</w:t>
      </w:r>
    </w:p>
    <w:bookmarkEnd w:id="147"/>
    <w:bookmarkStart w:id="148" w:name="accessibility"/>
    <w:p>
      <w:pPr>
        <w:pStyle w:val="Heading3"/>
      </w:pPr>
      <w:r>
        <w:t xml:space="preserve">6.7.3 Accessibility</w:t>
      </w:r>
    </w:p>
    <w:p>
      <w:pPr>
        <w:pStyle w:val="FirstParagraph"/>
      </w:pPr>
      <w:r>
        <w:t xml:space="preserve">The reader-facing badge is implemented with full accessibility</w:t>
      </w:r>
      <w:r>
        <w:t xml:space="preserve"> </w:t>
      </w:r>
      <w:r>
        <w:t xml:space="preserve">support: the badge supplies appropriate ARIA labels and roles, the badge</w:t>
      </w:r>
      <w:r>
        <w:t xml:space="preserve"> </w:t>
      </w:r>
      <w:r>
        <w:t xml:space="preserve">is keyboard-navigable, the badge is operable with screen readers, the</w:t>
      </w:r>
      <w:r>
        <w:t xml:space="preserve"> </w:t>
      </w:r>
      <w:r>
        <w:t xml:space="preserve">badge’s color usage is compliant with WCAG 2.2 Level AA contrast</w:t>
      </w:r>
      <w:r>
        <w:t xml:space="preserve"> </w:t>
      </w:r>
      <w:r>
        <w:t xml:space="preserve">requirements, and the badge supports the user agent’s</w:t>
      </w:r>
      <w:r>
        <w:t xml:space="preserve"> </w:t>
      </w:r>
      <w:r>
        <w:t xml:space="preserve">prefers-reduced-motion and prefers-color-scheme settings. The</w:t>
      </w:r>
      <w:r>
        <w:t xml:space="preserve"> </w:t>
      </w:r>
      <w:r>
        <w:t xml:space="preserve">accessibility implementation is normative and is part of the conformance</w:t>
      </w:r>
      <w:r>
        <w:t xml:space="preserve"> </w:t>
      </w:r>
      <w:r>
        <w:t xml:space="preserve">requirements of TIPCL-1.0.</w:t>
      </w:r>
    </w:p>
    <w:bookmarkEnd w:id="148"/>
    <w:bookmarkEnd w:id="149"/>
    <w:bookmarkStart w:id="150" w:name="the-global-seal-of-trust"/>
    <w:p>
      <w:pPr>
        <w:pStyle w:val="Heading2"/>
      </w:pPr>
      <w:r>
        <w:t xml:space="preserve">6.8 The Global Seal of Trust</w:t>
      </w:r>
    </w:p>
    <w:p>
      <w:pPr>
        <w:pStyle w:val="FirstParagraph"/>
      </w:pPr>
      <w:r>
        <w:t xml:space="preserve">The Global Seal of Trust is the principal reader-facing indication</w:t>
      </w:r>
      <w:r>
        <w:t xml:space="preserve"> </w:t>
      </w:r>
      <w:r>
        <w:t xml:space="preserve">that a unit of content has been signed under the Trust Identity Protocol</w:t>
      </w:r>
      <w:r>
        <w:t xml:space="preserve"> </w:t>
      </w:r>
      <w:r>
        <w:t xml:space="preserve">by a CTID with a Trust Score in the Verified class, with no active</w:t>
      </w:r>
      <w:r>
        <w:t xml:space="preserve"> </w:t>
      </w:r>
      <w:r>
        <w:t xml:space="preserve">Blocking Items, and with an Origin Code consistent with the content’s</w:t>
      </w:r>
      <w:r>
        <w:t xml:space="preserve"> </w:t>
      </w:r>
      <w:r>
        <w:t xml:space="preserve">declared character. The Global Seal of Trust is visible to the reader as</w:t>
      </w:r>
      <w:r>
        <w:t xml:space="preserve"> </w:t>
      </w:r>
      <w:r>
        <w:t xml:space="preserve">a distinct visual mark integrated into the badge.</w:t>
      </w:r>
    </w:p>
    <w:p>
      <w:pPr>
        <w:pStyle w:val="BodyText"/>
      </w:pPr>
      <w:r>
        <w:t xml:space="preserve">The Global Seal of Trust is a trademark of The AI Lab Intelligence</w:t>
      </w:r>
      <w:r>
        <w:t xml:space="preserve"> </w:t>
      </w:r>
      <w:r>
        <w:t xml:space="preserve">Unobscured, Inc. (USPTO Serial No. 99607461, pending). Use of the Global</w:t>
      </w:r>
      <w:r>
        <w:t xml:space="preserve"> </w:t>
      </w:r>
      <w:r>
        <w:t xml:space="preserve">Seal of Trust mark in any surface conformant with the protocol is</w:t>
      </w:r>
      <w:r>
        <w:t xml:space="preserve"> </w:t>
      </w:r>
      <w:r>
        <w:t xml:space="preserve">permitted under the Trademark Usage Policy described in Part X Section</w:t>
      </w:r>
      <w:r>
        <w:t xml:space="preserve"> </w:t>
      </w:r>
      <w:r>
        <w:t xml:space="preserve">10.5. Use outside the protocol’s specifications is not authorized.</w:t>
      </w:r>
    </w:p>
    <w:p>
      <w:pPr>
        <w:pStyle w:val="BodyText"/>
      </w:pPr>
      <w:r>
        <w:t xml:space="preserve">The reader who sees the Global Seal of Trust beside a unit of content</w:t>
      </w:r>
      <w:r>
        <w:t xml:space="preserve"> </w:t>
      </w:r>
      <w:r>
        <w:t xml:space="preserve">is, by the structure of the protocol, presented with the following</w:t>
      </w:r>
      <w:r>
        <w:t xml:space="preserve"> </w:t>
      </w:r>
      <w:r>
        <w:t xml:space="preserve">layered representation:</w:t>
      </w:r>
    </w:p>
    <w:p>
      <w:pPr>
        <w:pStyle w:val="Compact"/>
        <w:numPr>
          <w:ilvl w:val="0"/>
          <w:numId w:val="1017"/>
        </w:numPr>
      </w:pPr>
      <w:r>
        <w:t xml:space="preserve">That the content has been cryptographically signed by a CTID whose</w:t>
      </w:r>
      <w:r>
        <w:t xml:space="preserve"> </w:t>
      </w:r>
      <w:r>
        <w:t xml:space="preserve">private key is held in a user-verified WebAuthn resident key</w:t>
      </w:r>
      <w:r>
        <w:t xml:space="preserve"> </w:t>
      </w:r>
      <w:r>
        <w:t xml:space="preserve">authenticator.</w:t>
      </w:r>
    </w:p>
    <w:p>
      <w:pPr>
        <w:pStyle w:val="Compact"/>
        <w:numPr>
          <w:ilvl w:val="0"/>
          <w:numId w:val="1017"/>
        </w:numPr>
      </w:pPr>
      <w:r>
        <w:t xml:space="preserve">That the CTID has been issued by a Verification Provider accredited</w:t>
      </w:r>
      <w:r>
        <w:t xml:space="preserve"> </w:t>
      </w:r>
      <w:r>
        <w:t xml:space="preserve">by the AI Trust Council and currently in good standing.</w:t>
      </w:r>
    </w:p>
    <w:p>
      <w:pPr>
        <w:pStyle w:val="Compact"/>
        <w:numPr>
          <w:ilvl w:val="0"/>
          <w:numId w:val="1017"/>
        </w:numPr>
      </w:pPr>
      <w:r>
        <w:t xml:space="preserve">That the CTID has accumulated, through its operational history, a</w:t>
      </w:r>
      <w:r>
        <w:t xml:space="preserve"> </w:t>
      </w:r>
      <w:r>
        <w:t xml:space="preserve">Trust Score in the Verified class under the four-sub-score system.</w:t>
      </w:r>
    </w:p>
    <w:p>
      <w:pPr>
        <w:pStyle w:val="Compact"/>
        <w:numPr>
          <w:ilvl w:val="0"/>
          <w:numId w:val="1017"/>
        </w:numPr>
      </w:pPr>
      <w:r>
        <w:t xml:space="preserve">That the CTID is not under any Blocking Item.</w:t>
      </w:r>
    </w:p>
    <w:p>
      <w:pPr>
        <w:pStyle w:val="Compact"/>
        <w:numPr>
          <w:ilvl w:val="0"/>
          <w:numId w:val="1017"/>
        </w:numPr>
      </w:pPr>
      <w:r>
        <w:t xml:space="preserve">That the Origin Code declared by the signer is recorded.</w:t>
      </w:r>
    </w:p>
    <w:p>
      <w:pPr>
        <w:pStyle w:val="Compact"/>
        <w:numPr>
          <w:ilvl w:val="0"/>
          <w:numId w:val="1017"/>
        </w:numPr>
      </w:pPr>
      <w:r>
        <w:t xml:space="preserve">That the federated DAG contains the published TIP-CONTENT record and</w:t>
      </w:r>
      <w:r>
        <w:t xml:space="preserve"> </w:t>
      </w:r>
      <w:r>
        <w:t xml:space="preserve">the published version history.</w:t>
      </w:r>
    </w:p>
    <w:p>
      <w:pPr>
        <w:pStyle w:val="FirstParagraph"/>
      </w:pPr>
      <w:r>
        <w:t xml:space="preserve">The Global Seal of Trust is not a guarantee of factual accuracy. The</w:t>
      </w:r>
      <w:r>
        <w:t xml:space="preserve"> </w:t>
      </w:r>
      <w:r>
        <w:t xml:space="preserve">protocol does not adjudicate the factual accuracy of content at the</w:t>
      </w:r>
      <w:r>
        <w:t xml:space="preserve"> </w:t>
      </w:r>
      <w:r>
        <w:t xml:space="preserve">moment of signing. The Global Seal of Trust is a guarantee that the</w:t>
      </w:r>
      <w:r>
        <w:t xml:space="preserve"> </w:t>
      </w:r>
      <w:r>
        <w:t xml:space="preserve">protocol’s identity, provenance, and reputation infrastructure has, on</w:t>
      </w:r>
      <w:r>
        <w:t xml:space="preserve"> </w:t>
      </w:r>
      <w:r>
        <w:t xml:space="preserve">the evidence available to the federation, supplied no signal</w:t>
      </w:r>
      <w:r>
        <w:t xml:space="preserve"> </w:t>
      </w:r>
      <w:r>
        <w:t xml:space="preserve">inconsistent with the publication of the content under the conditions</w:t>
      </w:r>
      <w:r>
        <w:t xml:space="preserve"> </w:t>
      </w:r>
      <w:r>
        <w:t xml:space="preserve">represented by the badge.</w:t>
      </w:r>
    </w:p>
    <w:p>
      <w:r>
        <w:pict>
          <v:rect style="width:0;height:1.5pt" o:hralign="center" o:hrstd="t" o:hr="t"/>
        </w:pict>
      </w:r>
    </w:p>
    <w:p>
      <w:pPr>
        <w:pStyle w:val="FirstParagraph"/>
      </w:pPr>
      <w:r>
        <w:rPr>
          <w:b/>
          <w:bCs/>
        </w:rPr>
        <w:t xml:space="preserve">Contact The AI Lab regarding Part VI</w:t>
      </w:r>
    </w:p>
    <w:p>
      <w:pPr>
        <w:pStyle w:val="BodyText"/>
      </w:pPr>
      <w:r>
        <w:t xml:space="preserve">Adjudication and Disputes:</w:t>
      </w:r>
      <w:r>
        <w:t xml:space="preserve"> </w:t>
      </w:r>
      <w:r>
        <w:rPr>
          <w:rStyle w:val="VerbatimChar"/>
        </w:rPr>
        <w:t xml:space="preserve">council@theailab.org</w:t>
      </w:r>
      <w:r>
        <w:t xml:space="preserve"> </w:t>
      </w:r>
      <w:r>
        <w:t xml:space="preserve">,</w:t>
      </w:r>
      <w:r>
        <w:t xml:space="preserve"> </w:t>
      </w:r>
      <w:r>
        <w:t xml:space="preserve">theailab.org/ai-trust-council Technical Inquiries:</w:t>
      </w:r>
      <w:r>
        <w:t xml:space="preserve"> </w:t>
      </w:r>
      <w:r>
        <w:rPr>
          <w:rStyle w:val="VerbatimChar"/>
        </w:rPr>
        <w:t xml:space="preserve">tip@theailab.org</w:t>
      </w:r>
      <w:r>
        <w:t xml:space="preserve"> </w:t>
      </w:r>
      <w:r>
        <w:t xml:space="preserve">General Counsel:</w:t>
      </w:r>
      <w:r>
        <w:t xml:space="preserve"> </w:t>
      </w:r>
      <w:r>
        <w:rPr>
          <w:rStyle w:val="VerbatimChar"/>
        </w:rPr>
        <w:t xml:space="preserve">legal@theailab.org</w:t>
      </w:r>
    </w:p>
    <w:p>
      <w:pPr>
        <w:pStyle w:val="BodyText"/>
      </w:pPr>
      <w:r>
        <w:t xml:space="preserve">The AI Lab Intelligence Unobscured, Inc. Wilmington, Delaware, United</w:t>
      </w:r>
      <w:r>
        <w:t xml:space="preserve"> </w:t>
      </w:r>
      <w:r>
        <w:t xml:space="preserve">States.</w:t>
      </w:r>
    </w:p>
    <w:bookmarkEnd w:id="150"/>
    <w:bookmarkEnd w:id="151"/>
    <w:bookmarkStart w:id="180" w:name="Xb45aaf2ad76f0bca26a249dc024f5b4e2800b21"/>
    <w:p>
      <w:pPr>
        <w:pStyle w:val="Heading1"/>
      </w:pPr>
      <w:r>
        <w:t xml:space="preserve">Part VII: Federated DAG and Network Topology</w:t>
      </w:r>
    </w:p>
    <w:p>
      <w:pPr>
        <w:pStyle w:val="FirstParagraph"/>
      </w:pPr>
      <w:r>
        <w:t xml:space="preserve">This Part describes the network on which the Trust Identity Protocol</w:t>
      </w:r>
      <w:r>
        <w:t xml:space="preserve"> </w:t>
      </w:r>
      <w:r>
        <w:t xml:space="preserve">operates. The network is a federation of Node Operators, each operating</w:t>
      </w:r>
      <w:r>
        <w:t xml:space="preserve"> </w:t>
      </w:r>
      <w:r>
        <w:t xml:space="preserve">one or more nodes that together maintain the public, append-only</w:t>
      </w:r>
      <w:r>
        <w:t xml:space="preserve"> </w:t>
      </w:r>
      <w:r>
        <w:t xml:space="preserve">directed acyclic graph on which TIP-CONTENT records, CTID issuance and</w:t>
      </w:r>
      <w:r>
        <w:t xml:space="preserve"> </w:t>
      </w:r>
      <w:r>
        <w:t xml:space="preserve">revocation events, Trust Score recalculations, Blocking Item</w:t>
      </w:r>
      <w:r>
        <w:t xml:space="preserve"> </w:t>
      </w:r>
      <w:r>
        <w:t xml:space="preserve">activations, adjudication outcomes, and Verification Provider</w:t>
      </w:r>
      <w:r>
        <w:t xml:space="preserve"> </w:t>
      </w:r>
      <w:r>
        <w:t xml:space="preserve">accreditation events are recorded. This Part addresses the architecture</w:t>
      </w:r>
      <w:r>
        <w:t xml:space="preserve"> </w:t>
      </w:r>
      <w:r>
        <w:t xml:space="preserve">of the federation, the categories of node, the three named operational</w:t>
      </w:r>
      <w:r>
        <w:t xml:space="preserve"> </w:t>
      </w:r>
      <w:r>
        <w:t xml:space="preserve">periods (Pre-Genesis Period, Founding Period, Network Period), the</w:t>
      </w:r>
      <w:r>
        <w:t xml:space="preserve"> </w:t>
      </w:r>
      <w:r>
        <w:t xml:space="preserve">synchronization protocol, the consistency and partition tolerance</w:t>
      </w:r>
      <w:r>
        <w:t xml:space="preserve"> </w:t>
      </w:r>
      <w:r>
        <w:t xml:space="preserve">properties, the service level commitments, the geographic distribution</w:t>
      </w:r>
      <w:r>
        <w:t xml:space="preserve"> </w:t>
      </w:r>
      <w:r>
        <w:t xml:space="preserve">of the federation, and the capacity model.</w:t>
      </w:r>
    </w:p>
    <w:bookmarkStart w:id="155" w:name="the-federated-directed-acyclic-graph"/>
    <w:p>
      <w:pPr>
        <w:pStyle w:val="Heading2"/>
      </w:pPr>
      <w:r>
        <w:t xml:space="preserve">7.1 The federated directed acyclic graph</w:t>
      </w:r>
    </w:p>
    <w:p>
      <w:pPr>
        <w:pStyle w:val="FirstParagraph"/>
      </w:pPr>
      <w:r>
        <w:t xml:space="preserve">The Trust Identity Protocol records the operational events of the</w:t>
      </w:r>
      <w:r>
        <w:t xml:space="preserve"> </w:t>
      </w:r>
      <w:r>
        <w:t xml:space="preserve">protocol on a federated directed acyclic graph (the “DAG”). The DAG is a</w:t>
      </w:r>
      <w:r>
        <w:t xml:space="preserve"> </w:t>
      </w:r>
      <w:r>
        <w:t xml:space="preserve">distributed, append-only data structure replicated across the Node</w:t>
      </w:r>
      <w:r>
        <w:t xml:space="preserve"> </w:t>
      </w:r>
      <w:r>
        <w:t xml:space="preserve">Operators in the federation. The DAG is not a blockchain in the</w:t>
      </w:r>
      <w:r>
        <w:t xml:space="preserve"> </w:t>
      </w:r>
      <w:r>
        <w:t xml:space="preserve">conventional sense: the DAG does not require proof-of-work, does not</w:t>
      </w:r>
      <w:r>
        <w:t xml:space="preserve"> </w:t>
      </w:r>
      <w:r>
        <w:t xml:space="preserve">require proof-of-stake, does not assign a token-denominated reward to</w:t>
      </w:r>
      <w:r>
        <w:t xml:space="preserve"> </w:t>
      </w:r>
      <w:r>
        <w:t xml:space="preserve">Node Operators for the act of recording entries, and does not depend on</w:t>
      </w:r>
      <w:r>
        <w:t xml:space="preserve"> </w:t>
      </w:r>
      <w:r>
        <w:t xml:space="preserve">Byzantine fault-tolerant consensus across an unbounded population. The</w:t>
      </w:r>
      <w:r>
        <w:t xml:space="preserve"> </w:t>
      </w:r>
      <w:r>
        <w:t xml:space="preserve">DAG is a federated, credentialed, append-only record structure analogous</w:t>
      </w:r>
      <w:r>
        <w:t xml:space="preserve"> </w:t>
      </w:r>
      <w:r>
        <w:t xml:space="preserve">to the certificate transparency logs operated by the public-key</w:t>
      </w:r>
      <w:r>
        <w:t xml:space="preserve"> </w:t>
      </w:r>
      <w:r>
        <w:t xml:space="preserve">infrastructure community, extended for the additional categories of</w:t>
      </w:r>
      <w:r>
        <w:t xml:space="preserve"> </w:t>
      </w:r>
      <w:r>
        <w:t xml:space="preserve">event recorded by the protocol.</w:t>
      </w:r>
    </w:p>
    <w:bookmarkStart w:id="152" w:name="entry-structure"/>
    <w:p>
      <w:pPr>
        <w:pStyle w:val="Heading3"/>
      </w:pPr>
      <w:r>
        <w:t xml:space="preserve">7.1.1 Entry structure</w:t>
      </w:r>
    </w:p>
    <w:p>
      <w:pPr>
        <w:pStyle w:val="FirstParagraph"/>
      </w:pPr>
      <w:r>
        <w:t xml:space="preserve">Each entry in the DAG comprises (a) a payload corresponding to a</w:t>
      </w:r>
      <w:r>
        <w:t xml:space="preserve"> </w:t>
      </w:r>
      <w:r>
        <w:t xml:space="preserve">defined protocol event, (b) a timestamp recorded by the producing Node</w:t>
      </w:r>
      <w:r>
        <w:t xml:space="preserve"> </w:t>
      </w:r>
      <w:r>
        <w:t xml:space="preserve">Operator and verified against the federation’s time consensus, (c) one</w:t>
      </w:r>
      <w:r>
        <w:t xml:space="preserve"> </w:t>
      </w:r>
      <w:r>
        <w:t xml:space="preserve">or more references to immediately preceding entries forming the directed</w:t>
      </w:r>
      <w:r>
        <w:t xml:space="preserve"> </w:t>
      </w:r>
      <w:r>
        <w:t xml:space="preserve">acyclic structure, (d) a signature by the producing Node Operator</w:t>
      </w:r>
      <w:r>
        <w:t xml:space="preserve"> </w:t>
      </w:r>
      <w:r>
        <w:t xml:space="preserve">binding the payload, the timestamp, and the references, and (e) a unique</w:t>
      </w:r>
      <w:r>
        <w:t xml:space="preserve"> </w:t>
      </w:r>
      <w:r>
        <w:t xml:space="preserve">entry identifier derived from the three-hash addressing of the</w:t>
      </w:r>
      <w:r>
        <w:t xml:space="preserve"> </w:t>
      </w:r>
      <w:r>
        <w:t xml:space="preserve">payload.</w:t>
      </w:r>
    </w:p>
    <w:bookmarkEnd w:id="152"/>
    <w:bookmarkStart w:id="153" w:name="append-only-property"/>
    <w:p>
      <w:pPr>
        <w:pStyle w:val="Heading3"/>
      </w:pPr>
      <w:r>
        <w:t xml:space="preserve">7.1.2 Append-only property</w:t>
      </w:r>
    </w:p>
    <w:p>
      <w:pPr>
        <w:pStyle w:val="FirstParagraph"/>
      </w:pPr>
      <w:r>
        <w:t xml:space="preserve">Entries are added to the DAG and are not removed. The append-only</w:t>
      </w:r>
      <w:r>
        <w:t xml:space="preserve"> </w:t>
      </w:r>
      <w:r>
        <w:t xml:space="preserve">property is structural to the protocol. The non-repudiation,</w:t>
      </w:r>
      <w:r>
        <w:t xml:space="preserve"> </w:t>
      </w:r>
      <w:r>
        <w:t xml:space="preserve">auditability, and regulatory-alignment consequences of the append-only</w:t>
      </w:r>
      <w:r>
        <w:t xml:space="preserve"> </w:t>
      </w:r>
      <w:r>
        <w:t xml:space="preserve">property are addressed in Part II Section 2.3. The pseudonymization</w:t>
      </w:r>
      <w:r>
        <w:t xml:space="preserve"> </w:t>
      </w:r>
      <w:r>
        <w:t xml:space="preserve">analysis that reconciles the append-only property with the right to</w:t>
      </w:r>
      <w:r>
        <w:t xml:space="preserve"> </w:t>
      </w:r>
      <w:r>
        <w:t xml:space="preserve">erasure under data protection law is addressed in Part IX Section 9.1.2</w:t>
      </w:r>
      <w:r>
        <w:t xml:space="preserve"> </w:t>
      </w:r>
      <w:r>
        <w:t xml:space="preserve">and in Part IV.</w:t>
      </w:r>
    </w:p>
    <w:bookmarkEnd w:id="153"/>
    <w:bookmarkStart w:id="154" w:name="public-verifiability"/>
    <w:p>
      <w:pPr>
        <w:pStyle w:val="Heading3"/>
      </w:pPr>
      <w:r>
        <w:t xml:space="preserve">7.1.3 Public verifiability</w:t>
      </w:r>
    </w:p>
    <w:p>
      <w:pPr>
        <w:pStyle w:val="FirstParagraph"/>
      </w:pPr>
      <w:r>
        <w:t xml:space="preserve">Any party may, using software conformant with the protocol, retrieve</w:t>
      </w:r>
      <w:r>
        <w:t xml:space="preserve"> </w:t>
      </w:r>
      <w:r>
        <w:t xml:space="preserve">a DAG entry by its entry identifier, verify the signature of the</w:t>
      </w:r>
      <w:r>
        <w:t xml:space="preserve"> </w:t>
      </w:r>
      <w:r>
        <w:t xml:space="preserve">producing Node Operator, verify the references to preceding entries, and</w:t>
      </w:r>
      <w:r>
        <w:t xml:space="preserve"> </w:t>
      </w:r>
      <w:r>
        <w:t xml:space="preserve">recompute the entry identifier from the payload. The federation does not</w:t>
      </w:r>
      <w:r>
        <w:t xml:space="preserve"> </w:t>
      </w:r>
      <w:r>
        <w:t xml:space="preserve">depend on the discretion of any single Node Operator for the public</w:t>
      </w:r>
      <w:r>
        <w:t xml:space="preserve"> </w:t>
      </w:r>
      <w:r>
        <w:t xml:space="preserve">verifiability of any entry.</w:t>
      </w:r>
    </w:p>
    <w:bookmarkEnd w:id="154"/>
    <w:bookmarkEnd w:id="155"/>
    <w:bookmarkStart w:id="159" w:name="node-operator-roles"/>
    <w:p>
      <w:pPr>
        <w:pStyle w:val="Heading2"/>
      </w:pPr>
      <w:r>
        <w:t xml:space="preserve">7.2 Node Operator roles</w:t>
      </w:r>
    </w:p>
    <w:p>
      <w:pPr>
        <w:pStyle w:val="FirstParagraph"/>
      </w:pPr>
      <w:r>
        <w:t xml:space="preserve">The federation comprises three categories of node. A single Node</w:t>
      </w:r>
      <w:r>
        <w:t xml:space="preserve"> </w:t>
      </w:r>
      <w:r>
        <w:t xml:space="preserve">Operator may operate nodes in any or all categories.</w:t>
      </w:r>
    </w:p>
    <w:bookmarkStart w:id="156" w:name="light-node"/>
    <w:p>
      <w:pPr>
        <w:pStyle w:val="Heading3"/>
      </w:pPr>
      <w:r>
        <w:t xml:space="preserve">7.2.1 Light Node</w:t>
      </w:r>
    </w:p>
    <w:p>
      <w:pPr>
        <w:pStyle w:val="FirstParagraph"/>
      </w:pPr>
      <w:r>
        <w:t xml:space="preserve">A Light Node maintains a partial replica of the DAG. The Light Node</w:t>
      </w:r>
      <w:r>
        <w:t xml:space="preserve"> </w:t>
      </w:r>
      <w:r>
        <w:t xml:space="preserve">retains the entry headers and the cryptographic commitments necessary to</w:t>
      </w:r>
      <w:r>
        <w:t xml:space="preserve"> </w:t>
      </w:r>
      <w:r>
        <w:t xml:space="preserve">verify the integrity of entries on the DAG without retaining the full</w:t>
      </w:r>
      <w:r>
        <w:t xml:space="preserve"> </w:t>
      </w:r>
      <w:r>
        <w:t xml:space="preserve">payloads of all entries. The Light Node retains this header and commitment data on a rolling one-year rotation, holding each entry for twelve months from the date it is observed and pruning it as newer entries are written, so the node continuously maintains a trailing twelve-month window of verifiable DAG history. The Light Node is suitable for readers,</w:t>
      </w:r>
      <w:r>
        <w:t xml:space="preserve"> </w:t>
      </w:r>
      <w:r>
        <w:t xml:space="preserve">platforms, publishers, and integrators who require the ability to verify</w:t>
      </w:r>
      <w:r>
        <w:t xml:space="preserve"> </w:t>
      </w:r>
      <w:r>
        <w:t xml:space="preserve">TIP-CONTENT records against the DAG without operating the full DAG</w:t>
      </w:r>
      <w:r>
        <w:t xml:space="preserve"> </w:t>
      </w:r>
      <w:r>
        <w:t xml:space="preserve">storage and bandwidth burden.</w:t>
      </w:r>
    </w:p>
    <w:p>
      <w:pPr>
        <w:pStyle w:val="BodyText"/>
      </w:pPr>
      <w:r>
        <w:t xml:space="preserve">A Light Node has the technical requirements set out in the Technical</w:t>
      </w:r>
      <w:r>
        <w:t xml:space="preserve"> </w:t>
      </w:r>
      <w:r>
        <w:t xml:space="preserve">Requirements Specification (Document 02 of the Founding Node Operator</w:t>
      </w:r>
      <w:r>
        <w:t xml:space="preserve"> </w:t>
      </w:r>
      <w:r>
        <w:t xml:space="preserve">Package). The Light Node’s principal requirement is a</w:t>
      </w:r>
      <w:r>
        <w:t xml:space="preserve"> </w:t>
      </w:r>
      <w:r>
        <w:t xml:space="preserve">moderate-throughput network connection (one gigabit per second symmetric</w:t>
      </w:r>
      <w:r>
        <w:t xml:space="preserve"> </w:t>
      </w:r>
      <w:r>
        <w:t xml:space="preserve">is the published specification) and modest storage and computational</w:t>
      </w:r>
      <w:r>
        <w:t xml:space="preserve"> </w:t>
      </w:r>
      <w:r>
        <w:t xml:space="preserve">capacity sufficient to maintain entry headers and the cryptographic</w:t>
      </w:r>
      <w:r>
        <w:t xml:space="preserve"> </w:t>
      </w:r>
      <w:r>
        <w:t xml:space="preserve">commitments.</w:t>
      </w:r>
    </w:p>
    <w:bookmarkEnd w:id="156"/>
    <w:bookmarkStart w:id="157" w:name="full-node"/>
    <w:p>
      <w:pPr>
        <w:pStyle w:val="Heading3"/>
      </w:pPr>
      <w:r>
        <w:t xml:space="preserve">7.2.2 Full Node</w:t>
      </w:r>
    </w:p>
    <w:p>
      <w:pPr>
        <w:pStyle w:val="FirstParagraph"/>
      </w:pPr>
      <w:r>
        <w:t xml:space="preserve">A Full Node maintains a full replica of the DAG. The Full Node</w:t>
      </w:r>
      <w:r>
        <w:t xml:space="preserve"> </w:t>
      </w:r>
      <w:r>
        <w:t xml:space="preserve">retains the full payloads of all entries within its observation horizon,</w:t>
      </w:r>
      <w:r>
        <w:t xml:space="preserve"> </w:t>
      </w:r>
      <w:r>
        <w:t xml:space="preserve">supplies historical entries to other nodes on request, participates in</w:t>
      </w:r>
      <w:r>
        <w:t xml:space="preserve"> </w:t>
      </w:r>
      <w:r>
        <w:t xml:space="preserve">the federation’s synchronization protocol, and produces new entries on</w:t>
      </w:r>
      <w:r>
        <w:t xml:space="preserve"> </w:t>
      </w:r>
      <w:r>
        <w:t xml:space="preserve">behalf of CTID holders and Verification Providers signing through the</w:t>
      </w:r>
      <w:r>
        <w:t xml:space="preserve"> </w:t>
      </w:r>
      <w:r>
        <w:t xml:space="preserve">Full Node.</w:t>
      </w:r>
    </w:p>
    <w:p>
      <w:pPr>
        <w:pStyle w:val="BodyText"/>
      </w:pPr>
      <w:r>
        <w:t xml:space="preserve">A Full Node has the technical requirements set out in the Technical</w:t>
      </w:r>
      <w:r>
        <w:t xml:space="preserve"> </w:t>
      </w:r>
      <w:r>
        <w:t xml:space="preserve">Requirements Specification. The Full Node’s principal requirements</w:t>
      </w:r>
      <w:r>
        <w:t xml:space="preserve"> </w:t>
      </w:r>
      <w:r>
        <w:t xml:space="preserve">include a high-throughput network connection (ten gigabits per second</w:t>
      </w:r>
      <w:r>
        <w:t xml:space="preserve"> </w:t>
      </w:r>
      <w:r>
        <w:t xml:space="preserve">dedicated is the published specification for the Cloud deployment</w:t>
      </w:r>
      <w:r>
        <w:t xml:space="preserve"> </w:t>
      </w:r>
      <w:r>
        <w:t xml:space="preserve">profile), the storage capacity sufficient to retain the full DAG</w:t>
      </w:r>
      <w:r>
        <w:t xml:space="preserve"> </w:t>
      </w:r>
      <w:r>
        <w:t xml:space="preserve">together with the operational margin for projected growth (the published</w:t>
      </w:r>
      <w:r>
        <w:t xml:space="preserve"> </w:t>
      </w:r>
      <w:r>
        <w:t xml:space="preserve">specification provides three-year and ten-year sizing), and the</w:t>
      </w:r>
      <w:r>
        <w:t xml:space="preserve"> </w:t>
      </w:r>
      <w:r>
        <w:t xml:space="preserve">computational capacity sufficient to verify incoming entries at the</w:t>
      </w:r>
      <w:r>
        <w:t xml:space="preserve"> </w:t>
      </w:r>
      <w:r>
        <w:t xml:space="preserve">federation’s published throughput target. The Full Node’s specification</w:t>
      </w:r>
      <w:r>
        <w:t xml:space="preserve"> </w:t>
      </w:r>
      <w:r>
        <w:t xml:space="preserve">includes one or more graphics processing units (the published minimum is</w:t>
      </w:r>
      <w:r>
        <w:t xml:space="preserve"> </w:t>
      </w:r>
      <w:r>
        <w:t xml:space="preserve">one graphics processing unit with sixteen gigabytes of video memory; the</w:t>
      </w:r>
      <w:r>
        <w:t xml:space="preserve"> </w:t>
      </w:r>
      <w:r>
        <w:t xml:space="preserve">published recommended specification is two graphics processing units</w:t>
      </w:r>
      <w:r>
        <w:t xml:space="preserve"> </w:t>
      </w:r>
      <w:r>
        <w:t xml:space="preserve">with forty-eight gigabytes of video memory or more) for the optional</w:t>
      </w:r>
      <w:r>
        <w:t xml:space="preserve"> </w:t>
      </w:r>
      <w:r>
        <w:t xml:space="preserve">AI-assisted dispute pre-classification described in Part VI Section</w:t>
      </w:r>
      <w:r>
        <w:t xml:space="preserve"> </w:t>
      </w:r>
      <w:r>
        <w:t xml:space="preserve">6.5.3.</w:t>
      </w:r>
    </w:p>
    <w:bookmarkEnd w:id="157"/>
    <w:bookmarkStart w:id="158" w:name="verification-provider-node"/>
    <w:p>
      <w:pPr>
        <w:pStyle w:val="Heading3"/>
      </w:pPr>
      <w:r>
        <w:t xml:space="preserve">7.2.3 Verification Provider node</w:t>
      </w:r>
    </w:p>
    <w:p>
      <w:pPr>
        <w:pStyle w:val="FirstParagraph"/>
      </w:pPr>
      <w:r>
        <w:t xml:space="preserve">A Verification Provider node is a node operated by a Verification</w:t>
      </w:r>
      <w:r>
        <w:t xml:space="preserve"> </w:t>
      </w:r>
      <w:r>
        <w:t xml:space="preserve">Provider in support of the Verification Provider’s identity issuance and</w:t>
      </w:r>
      <w:r>
        <w:t xml:space="preserve"> </w:t>
      </w:r>
      <w:r>
        <w:t xml:space="preserve">mapping maintenance functions. The Verification Provider node interacts</w:t>
      </w:r>
      <w:r>
        <w:t xml:space="preserve"> </w:t>
      </w:r>
      <w:r>
        <w:t xml:space="preserve">with the Full Node infrastructure of the federation to publish CTID</w:t>
      </w:r>
      <w:r>
        <w:t xml:space="preserve"> </w:t>
      </w:r>
      <w:r>
        <w:t xml:space="preserve">issuance events, suspension and revocation events, and accreditation</w:t>
      </w:r>
      <w:r>
        <w:t xml:space="preserve"> </w:t>
      </w:r>
      <w:r>
        <w:t xml:space="preserve">status updates. The Verification Provider node’s specification depends</w:t>
      </w:r>
      <w:r>
        <w:t xml:space="preserve"> </w:t>
      </w:r>
      <w:r>
        <w:t xml:space="preserve">on the Verification Provider’s operational scale and on the assurance</w:t>
      </w:r>
      <w:r>
        <w:t xml:space="preserve"> </w:t>
      </w:r>
      <w:r>
        <w:t xml:space="preserve">grade of CTIDs the Verification Provider is accredited to issue.</w:t>
      </w:r>
    </w:p>
    <w:bookmarkEnd w:id="158"/>
    <w:bookmarkEnd w:id="159"/>
    <w:bookmarkStart w:id="163" w:name="operational-periods"/>
    <w:p>
      <w:pPr>
        <w:pStyle w:val="Heading2"/>
      </w:pPr>
      <w:r>
        <w:t xml:space="preserve">7.3 Operational periods</w:t>
      </w:r>
    </w:p>
    <w:p>
      <w:pPr>
        <w:pStyle w:val="FirstParagraph"/>
      </w:pPr>
      <w:r>
        <w:t xml:space="preserve">The Trust Identity Protocol operates in three named periods. The</w:t>
      </w:r>
      <w:r>
        <w:t xml:space="preserve"> </w:t>
      </w:r>
      <w:r>
        <w:t xml:space="preserve">first is the</w:t>
      </w:r>
      <w:r>
        <w:t xml:space="preserve"> </w:t>
      </w:r>
      <w:r>
        <w:rPr>
          <w:b/>
          <w:bCs/>
        </w:rPr>
        <w:t xml:space="preserve">Pre-Genesis Period</w:t>
      </w:r>
      <w:r>
        <w:t xml:space="preserve">, commencing on June 1,</w:t>
      </w:r>
      <w:r>
        <w:t xml:space="preserve"> </w:t>
      </w:r>
      <w:r>
        <w:t xml:space="preserve">2026 and concluding on the Genesis Date, during which (a) the canonical</w:t>
      </w:r>
      <w:r>
        <w:t xml:space="preserve"> </w:t>
      </w:r>
      <w:r>
        <w:t xml:space="preserve">TIP Protocol Specification is published, (b) this whitepaper is</w:t>
      </w:r>
      <w:r>
        <w:t xml:space="preserve"> </w:t>
      </w:r>
      <w:r>
        <w:t xml:space="preserve">published, (c) the AI Trust Council Charter is ratified and the Council</w:t>
      </w:r>
      <w:r>
        <w:t xml:space="preserve"> </w:t>
      </w:r>
      <w:r>
        <w:t xml:space="preserve">convenes, (d) the Founding Node Operator Agreements are executed and</w:t>
      </w:r>
      <w:r>
        <w:t xml:space="preserve"> </w:t>
      </w:r>
      <w:r>
        <w:t xml:space="preserve">Founding Node Operators stand up Full Node deployments in pre-Genesis</w:t>
      </w:r>
      <w:r>
        <w:t xml:space="preserve"> </w:t>
      </w:r>
      <w:r>
        <w:t xml:space="preserve">operating mode, and (e) the federated DAG does not accept TIP-CONTENT</w:t>
      </w:r>
      <w:r>
        <w:t xml:space="preserve"> </w:t>
      </w:r>
      <w:r>
        <w:t xml:space="preserve">records, CTID issuance events, or other protocol events as production</w:t>
      </w:r>
      <w:r>
        <w:t xml:space="preserve"> </w:t>
      </w:r>
      <w:r>
        <w:t xml:space="preserve">records. The second is the</w:t>
      </w:r>
      <w:r>
        <w:t xml:space="preserve"> </w:t>
      </w:r>
      <w:r>
        <w:rPr>
          <w:b/>
          <w:bCs/>
        </w:rPr>
        <w:t xml:space="preserve">Founding Period</w:t>
      </w:r>
      <w:r>
        <w:t xml:space="preserve">, commencing</w:t>
      </w:r>
      <w:r>
        <w:t xml:space="preserve"> </w:t>
      </w:r>
      <w:r>
        <w:t xml:space="preserve">on the Genesis Date and continuing through a date to be determined by</w:t>
      </w:r>
      <w:r>
        <w:t xml:space="preserve"> </w:t>
      </w:r>
      <w:r>
        <w:t xml:space="preserve">The AI Lab in consultation with the AI Trust Council. The third is the</w:t>
      </w:r>
      <w:r>
        <w:t xml:space="preserve"> </w:t>
      </w:r>
      <w:r>
        <w:rPr>
          <w:b/>
          <w:bCs/>
        </w:rPr>
        <w:t xml:space="preserve">Network Period</w:t>
      </w:r>
      <w:r>
        <w:t xml:space="preserve">, commencing on the conclusion of the</w:t>
      </w:r>
      <w:r>
        <w:t xml:space="preserve"> </w:t>
      </w:r>
      <w:r>
        <w:t xml:space="preserve">Founding Period.</w:t>
      </w:r>
    </w:p>
    <w:p>
      <w:pPr>
        <w:pStyle w:val="BodyText"/>
      </w:pPr>
      <w:r>
        <w:t xml:space="preserve">The</w:t>
      </w:r>
      <w:r>
        <w:t xml:space="preserve"> </w:t>
      </w:r>
      <w:r>
        <w:rPr>
          <w:b/>
          <w:bCs/>
        </w:rPr>
        <w:t xml:space="preserve">Genesis Date</w:t>
      </w:r>
      <w:r>
        <w:t xml:space="preserve"> </w:t>
      </w:r>
      <w:r>
        <w:t xml:space="preserve">is the date in June 2026 on which</w:t>
      </w:r>
      <w:r>
        <w:t xml:space="preserve"> </w:t>
      </w:r>
      <w:r>
        <w:t xml:space="preserve">the federated network commences live operation, being the date</w:t>
      </w:r>
      <w:r>
        <w:t xml:space="preserve"> </w:t>
      </w:r>
      <w:r>
        <w:t xml:space="preserve">determined by the sole director of The AI Lab on the satisfaction of the</w:t>
      </w:r>
      <w:r>
        <w:t xml:space="preserve"> </w:t>
      </w:r>
      <w:r>
        <w:t xml:space="preserve">Operational Readiness Conditions and published by The AI Lab not less</w:t>
      </w:r>
      <w:r>
        <w:t xml:space="preserve"> </w:t>
      </w:r>
      <w:r>
        <w:t xml:space="preserve">than three (3) business days in advance on theailab.org.</w:t>
      </w:r>
    </w:p>
    <w:bookmarkStart w:id="160" w:name="the-founding-node-operators"/>
    <w:p>
      <w:pPr>
        <w:pStyle w:val="Heading3"/>
      </w:pPr>
      <w:r>
        <w:t xml:space="preserve">7.3.1 The Founding Node Operators</w:t>
      </w:r>
    </w:p>
    <w:p>
      <w:pPr>
        <w:pStyle w:val="FirstParagraph"/>
      </w:pPr>
      <w:r>
        <w:t xml:space="preserve">During the Pre-Genesis Period and the Founding Period that follows,</w:t>
      </w:r>
      <w:r>
        <w:t xml:space="preserve"> </w:t>
      </w:r>
      <w:r>
        <w:t xml:space="preserve">the network is operated by a credentialed set of Founding Node</w:t>
      </w:r>
      <w:r>
        <w:t xml:space="preserve"> </w:t>
      </w:r>
      <w:r>
        <w:t xml:space="preserve">Operators, each party to a Founding Node Operator Agreement with The AI</w:t>
      </w:r>
      <w:r>
        <w:t xml:space="preserve"> </w:t>
      </w:r>
      <w:r>
        <w:t xml:space="preserve">Lab. The Founding Node Operators contracted as of the publication date</w:t>
      </w:r>
      <w:r>
        <w:t xml:space="preserve"> </w:t>
      </w:r>
      <w:r>
        <w:t xml:space="preserve">of this whitepaper, each standing up a Full Node deployment in</w:t>
      </w:r>
      <w:r>
        <w:t xml:space="preserve"> </w:t>
      </w:r>
      <w:r>
        <w:t xml:space="preserve">pre-Genesis operating mode and continuing into production operation from</w:t>
      </w:r>
      <w:r>
        <w:t xml:space="preserve"> </w:t>
      </w:r>
      <w:r>
        <w:t xml:space="preserve">the Genesis Date, are:</w:t>
      </w:r>
    </w:p>
    <w:tbl>
      <w:tblPr>
        <w:tblStyle w:val="Table"/>
        <w:tblW w:type="pct" w:w="5000"/>
        <w:tblLayout w:type="fixed"/>
        <w:tblLook w:firstRow="1" w:lastRow="0" w:firstColumn="0" w:lastColumn="0" w:noHBand="0" w:noVBand="0" w:val="0020"/>
      </w:tblPr>
      <w:tblGrid>
        <w:gridCol w:w="3281"/>
        <w:gridCol w:w="1810"/>
        <w:gridCol w:w="2828"/>
      </w:tblGrid>
      <w:tr>
        <w:trPr>
          <w:tblHeader w:val="on"/>
        </w:trPr>
        <w:tc>
          <w:tcPr/>
          <w:p>
            <w:pPr>
              <w:pStyle w:val="Compact"/>
            </w:pPr>
            <w:r>
              <w:t xml:space="preserve">Founding Node Operator</w:t>
            </w:r>
          </w:p>
        </w:tc>
        <w:tc>
          <w:tcPr/>
          <w:p>
            <w:pPr>
              <w:pStyle w:val="Compact"/>
            </w:pPr>
            <w:r>
              <w:t xml:space="preserve">Jurisdiction</w:t>
            </w:r>
          </w:p>
        </w:tc>
        <w:tc>
          <w:tcPr/>
          <w:p>
            <w:pPr>
              <w:pStyle w:val="Compact"/>
            </w:pPr>
            <w:r>
              <w:t xml:space="preserve">Principal node category</w:t>
            </w:r>
          </w:p>
        </w:tc>
      </w:tr>
      <w:tr>
        <w:tc>
          <w:tcPr/>
          <w:p>
            <w:pPr>
              <w:pStyle w:val="Compact"/>
            </w:pPr>
            <w:r>
              <w:t xml:space="preserve">THE PRESCIENT PACHYDERM LTD</w:t>
            </w:r>
          </w:p>
        </w:tc>
        <w:tc>
          <w:tcPr/>
          <w:p>
            <w:pPr>
              <w:pStyle w:val="Compact"/>
            </w:pPr>
            <w:r>
              <w:t xml:space="preserve">United Kingdom</w:t>
            </w:r>
          </w:p>
        </w:tc>
        <w:tc>
          <w:tcPr/>
          <w:p>
            <w:pPr>
              <w:pStyle w:val="Compact"/>
            </w:pPr>
            <w:r>
              <w:t xml:space="preserve">Full Node</w:t>
            </w:r>
          </w:p>
        </w:tc>
      </w:tr>
      <w:tr>
        <w:tc>
          <w:tcPr/>
          <w:p>
            <w:pPr>
              <w:pStyle w:val="Compact"/>
            </w:pPr>
            <w:r>
              <w:t xml:space="preserve">AZLogics Private Limited</w:t>
            </w:r>
          </w:p>
        </w:tc>
        <w:tc>
          <w:tcPr/>
          <w:p>
            <w:pPr>
              <w:pStyle w:val="Compact"/>
            </w:pPr>
            <w:r>
              <w:t xml:space="preserve">India</w:t>
            </w:r>
          </w:p>
        </w:tc>
        <w:tc>
          <w:tcPr/>
          <w:p>
            <w:pPr>
              <w:pStyle w:val="Compact"/>
            </w:pPr>
            <w:r>
              <w:t xml:space="preserve">Full Node</w:t>
            </w:r>
          </w:p>
        </w:tc>
      </w:tr>
      <w:tr>
        <w:tc>
          <w:tcPr/>
          <w:p>
            <w:pPr>
              <w:pStyle w:val="Compact"/>
            </w:pPr>
            <w:r>
              <w:t xml:space="preserve">Apex Modular Solutions LLC</w:t>
            </w:r>
          </w:p>
        </w:tc>
        <w:tc>
          <w:tcPr/>
          <w:p>
            <w:pPr>
              <w:pStyle w:val="Compact"/>
            </w:pPr>
            <w:r>
              <w:t xml:space="preserve">United States</w:t>
            </w:r>
          </w:p>
        </w:tc>
        <w:tc>
          <w:tcPr/>
          <w:p>
            <w:pPr>
              <w:pStyle w:val="Compact"/>
            </w:pPr>
            <w:r>
              <w:t xml:space="preserve">Full Node</w:t>
            </w:r>
          </w:p>
        </w:tc>
      </w:tr>
      <w:tr>
        <w:tc>
          <w:tcPr/>
          <w:p>
            <w:pPr>
              <w:pStyle w:val="Compact"/>
            </w:pPr>
            <w:r>
              <w:t xml:space="preserve">Timpi International Ltd</w:t>
            </w:r>
          </w:p>
        </w:tc>
        <w:tc>
          <w:tcPr/>
          <w:p>
            <w:pPr>
              <w:pStyle w:val="Compact"/>
            </w:pPr>
            <w:r>
              <w:t xml:space="preserve">New Zealand</w:t>
            </w:r>
          </w:p>
        </w:tc>
        <w:tc>
          <w:tcPr/>
          <w:p>
            <w:pPr>
              <w:pStyle w:val="Compact"/>
            </w:pPr>
            <w:r>
              <w:t xml:space="preserve">Full Node</w:t>
            </w:r>
          </w:p>
        </w:tc>
      </w:tr>
      <w:tr>
        <w:tc>
          <w:tcPr/>
          <w:p>
            <w:pPr>
              <w:pStyle w:val="Compact"/>
            </w:pPr>
            <w:r>
              <w:t xml:space="preserve">Lonestar Data Holdings Inc.</w:t>
            </w:r>
          </w:p>
        </w:tc>
        <w:tc>
          <w:tcPr/>
          <w:p>
            <w:pPr>
              <w:pStyle w:val="Compact"/>
            </w:pPr>
            <w:r>
              <w:t xml:space="preserve">United States</w:t>
            </w:r>
          </w:p>
        </w:tc>
        <w:tc>
          <w:tcPr/>
          <w:p>
            <w:pPr>
              <w:pStyle w:val="Compact"/>
            </w:pPr>
            <w:r>
              <w:t xml:space="preserve">Full Node</w:t>
            </w:r>
          </w:p>
        </w:tc>
      </w:tr>
      <w:tr>
        <w:tc>
          <w:tcPr/>
          <w:p>
            <w:pPr>
              <w:pStyle w:val="Compact"/>
            </w:pPr>
            <w:r>
              <w:t xml:space="preserve">The AI Lab Intelligence Unobscured, Inc.</w:t>
            </w:r>
          </w:p>
        </w:tc>
        <w:tc>
          <w:tcPr/>
          <w:p>
            <w:pPr>
              <w:pStyle w:val="Compact"/>
            </w:pPr>
            <w:r>
              <w:t xml:space="preserve">United States (theailab.org)</w:t>
            </w:r>
          </w:p>
        </w:tc>
        <w:tc>
          <w:tcPr/>
          <w:p>
            <w:pPr>
              <w:pStyle w:val="Compact"/>
            </w:pPr>
            <w:r>
              <w:t xml:space="preserve">Full Node</w:t>
            </w:r>
          </w:p>
        </w:tc>
      </w:tr>
    </w:tbl>
    <w:p>
      <w:pPr>
        <w:pStyle w:val="BodyText"/>
      </w:pPr>
      <w:r>
        <w:t xml:space="preserve">Each Founding Node Operator has committed to the operation of a Full</w:t>
      </w:r>
      <w:r>
        <w:t xml:space="preserve"> </w:t>
      </w:r>
      <w:r>
        <w:t xml:space="preserve">Node, the service level commitments described in Section 7.6, the</w:t>
      </w:r>
      <w:r>
        <w:t xml:space="preserve"> </w:t>
      </w:r>
      <w:r>
        <w:t xml:space="preserve">warrant canary and the jurisdiction declaration described in Part X, and</w:t>
      </w:r>
      <w:r>
        <w:t xml:space="preserve"> </w:t>
      </w:r>
      <w:r>
        <w:t xml:space="preserve">the conformance with the data protection and cybersecurity obligations</w:t>
      </w:r>
      <w:r>
        <w:t xml:space="preserve"> </w:t>
      </w:r>
      <w:r>
        <w:t xml:space="preserve">of its jurisdiction. The Founding Node Operator Agreements incorporate</w:t>
      </w:r>
      <w:r>
        <w:t xml:space="preserve"> </w:t>
      </w:r>
      <w:r>
        <w:t xml:space="preserve">by reference the Technical Requirements Specification, the Service Level</w:t>
      </w:r>
      <w:r>
        <w:t xml:space="preserve"> </w:t>
      </w:r>
      <w:r>
        <w:t xml:space="preserve">Agreement, and TIPCL-1.0.</w:t>
      </w:r>
    </w:p>
    <w:bookmarkEnd w:id="160"/>
    <w:bookmarkStart w:id="161" w:name="the-character-of-the-founding-period"/>
    <w:p>
      <w:pPr>
        <w:pStyle w:val="Heading3"/>
      </w:pPr>
      <w:r>
        <w:t xml:space="preserve">7.3.2 The character of the Founding Period</w:t>
      </w:r>
    </w:p>
    <w:p>
      <w:pPr>
        <w:pStyle w:val="FirstParagraph"/>
      </w:pPr>
      <w:r>
        <w:t xml:space="preserve">The Founding Period commences on the Genesis Date. It is</w:t>
      </w:r>
      <w:r>
        <w:t xml:space="preserve"> </w:t>
      </w:r>
      <w:r>
        <w:t xml:space="preserve">operationally distinguished from the Network Period that follows in five</w:t>
      </w:r>
      <w:r>
        <w:t xml:space="preserve"> </w:t>
      </w:r>
      <w:r>
        <w:t xml:space="preserve">respects.</w:t>
      </w:r>
    </w:p>
    <w:p>
      <w:pPr>
        <w:pStyle w:val="BodyText"/>
      </w:pPr>
      <w:r>
        <w:rPr>
          <w:b/>
          <w:bCs/>
        </w:rPr>
        <w:t xml:space="preserve">Smaller federation.</w:t>
      </w:r>
      <w:r>
        <w:t xml:space="preserve"> </w:t>
      </w:r>
      <w:r>
        <w:t xml:space="preserve">The Founding Period operates</w:t>
      </w:r>
      <w:r>
        <w:t xml:space="preserve"> </w:t>
      </w:r>
      <w:r>
        <w:t xml:space="preserve">with a smaller and credentialed set of Node Operators, all of whom are</w:t>
      </w:r>
      <w:r>
        <w:t xml:space="preserve"> </w:t>
      </w:r>
      <w:r>
        <w:t xml:space="preserve">party to written agreements with The AI Lab. The Network Period</w:t>
      </w:r>
      <w:r>
        <w:t xml:space="preserve"> </w:t>
      </w:r>
      <w:r>
        <w:t xml:space="preserve">contemplates the expansion of the federation through a published</w:t>
      </w:r>
      <w:r>
        <w:t xml:space="preserve"> </w:t>
      </w:r>
      <w:r>
        <w:t xml:space="preserve">accreditation procedure analogous to the Verification Provider</w:t>
      </w:r>
      <w:r>
        <w:t xml:space="preserve"> </w:t>
      </w:r>
      <w:r>
        <w:t xml:space="preserve">accreditation procedure.</w:t>
      </w:r>
    </w:p>
    <w:p>
      <w:pPr>
        <w:pStyle w:val="BodyText"/>
      </w:pPr>
      <w:r>
        <w:rPr>
          <w:b/>
          <w:bCs/>
        </w:rPr>
        <w:t xml:space="preserve">Operational coordination.</w:t>
      </w:r>
      <w:r>
        <w:t xml:space="preserve"> </w:t>
      </w:r>
      <w:r>
        <w:t xml:space="preserve">The Founding Period</w:t>
      </w:r>
      <w:r>
        <w:t xml:space="preserve"> </w:t>
      </w:r>
      <w:r>
        <w:t xml:space="preserve">contemplates a higher degree of operational coordination among Node</w:t>
      </w:r>
      <w:r>
        <w:t xml:space="preserve"> </w:t>
      </w:r>
      <w:r>
        <w:t xml:space="preserve">Operators, including coordinated upgrade windows, coordinated incident</w:t>
      </w:r>
      <w:r>
        <w:t xml:space="preserve"> </w:t>
      </w:r>
      <w:r>
        <w:t xml:space="preserve">response, and a single-channel escalation path through The AI Lab. The</w:t>
      </w:r>
      <w:r>
        <w:t xml:space="preserve"> </w:t>
      </w:r>
      <w:r>
        <w:t xml:space="preserve">Network Period contemplates a decentralized operational pattern with</w:t>
      </w:r>
      <w:r>
        <w:t xml:space="preserve"> </w:t>
      </w:r>
      <w:r>
        <w:t xml:space="preserve">peer-to-peer coordination protocols.</w:t>
      </w:r>
    </w:p>
    <w:p>
      <w:pPr>
        <w:pStyle w:val="BodyText"/>
      </w:pPr>
      <w:r>
        <w:rPr>
          <w:b/>
          <w:bCs/>
        </w:rPr>
        <w:t xml:space="preserve">Protocol amendment cadence.</w:t>
      </w:r>
      <w:r>
        <w:t xml:space="preserve"> </w:t>
      </w:r>
      <w:r>
        <w:t xml:space="preserve">The Founding Period</w:t>
      </w:r>
      <w:r>
        <w:t xml:space="preserve"> </w:t>
      </w:r>
      <w:r>
        <w:t xml:space="preserve">contemplates a higher cadence of protocol amendments as the federation</w:t>
      </w:r>
      <w:r>
        <w:t xml:space="preserve"> </w:t>
      </w:r>
      <w:r>
        <w:t xml:space="preserve">matures. The Network Period contemplates an amendment cadence stabilized</w:t>
      </w:r>
      <w:r>
        <w:t xml:space="preserve"> </w:t>
      </w:r>
      <w:r>
        <w:t xml:space="preserve">at the level customary for international standards (a major revision</w:t>
      </w:r>
      <w:r>
        <w:t xml:space="preserve"> </w:t>
      </w:r>
      <w:r>
        <w:t xml:space="preserve">approximately every twenty-four to thirty-six months).</w:t>
      </w:r>
    </w:p>
    <w:p>
      <w:pPr>
        <w:pStyle w:val="BodyText"/>
      </w:pPr>
      <w:r>
        <w:rPr>
          <w:b/>
          <w:bCs/>
        </w:rPr>
        <w:t xml:space="preserve">Economic model.</w:t>
      </w:r>
      <w:r>
        <w:t xml:space="preserve"> </w:t>
      </w:r>
      <w:r>
        <w:t xml:space="preserve">The Founding Period operates under</w:t>
      </w:r>
      <w:r>
        <w:t xml:space="preserve"> </w:t>
      </w:r>
      <w:r>
        <w:t xml:space="preserve">an economic model in which Founding Node Operators contribute</w:t>
      </w:r>
      <w:r>
        <w:t xml:space="preserve"> </w:t>
      </w:r>
      <w:r>
        <w:t xml:space="preserve">infrastructure under TIPCL-1.0 Free Tier terms (in the case of</w:t>
      </w:r>
      <w:r>
        <w:t xml:space="preserve"> </w:t>
      </w:r>
      <w:r>
        <w:t xml:space="preserve">journalism organizations, educational institutions, and government),</w:t>
      </w:r>
      <w:r>
        <w:t xml:space="preserve"> </w:t>
      </w:r>
      <w:r>
        <w:t xml:space="preserve">under Commercial License terms (in the case of commercial Node</w:t>
      </w:r>
      <w:r>
        <w:t xml:space="preserve"> </w:t>
      </w:r>
      <w:r>
        <w:t xml:space="preserve">Operators), or under the Founding Node Operator Agreement’s commitments.</w:t>
      </w:r>
      <w:r>
        <w:t xml:space="preserve"> </w:t>
      </w:r>
      <w:r>
        <w:t xml:space="preserve">The Network Period contemplates a successor economic model under</w:t>
      </w:r>
      <w:r>
        <w:t xml:space="preserve"> </w:t>
      </w:r>
      <w:r>
        <w:t xml:space="preserve">development by The AI Lab and the AI Trust Council. No representation is</w:t>
      </w:r>
      <w:r>
        <w:t xml:space="preserve"> </w:t>
      </w:r>
      <w:r>
        <w:t xml:space="preserve">made in this whitepaper concerning the Network Period economic</w:t>
      </w:r>
      <w:r>
        <w:t xml:space="preserve"> </w:t>
      </w:r>
      <w:r>
        <w:t xml:space="preserve">terms.</w:t>
      </w:r>
    </w:p>
    <w:p>
      <w:pPr>
        <w:pStyle w:val="BodyText"/>
      </w:pPr>
      <w:r>
        <w:rPr>
          <w:b/>
          <w:bCs/>
        </w:rPr>
        <w:t xml:space="preserve">Governance posture.</w:t>
      </w:r>
      <w:r>
        <w:t xml:space="preserve"> </w:t>
      </w:r>
      <w:r>
        <w:t xml:space="preserve">The Founding Period operates</w:t>
      </w:r>
      <w:r>
        <w:t xml:space="preserve"> </w:t>
      </w:r>
      <w:r>
        <w:t xml:space="preserve">under the AI Trust Council in its Founding Member composition. The</w:t>
      </w:r>
      <w:r>
        <w:t xml:space="preserve"> </w:t>
      </w:r>
      <w:r>
        <w:t xml:space="preserve">Network Period operates under the Council in its Network Period</w:t>
      </w:r>
      <w:r>
        <w:t xml:space="preserve"> </w:t>
      </w:r>
      <w:r>
        <w:t xml:space="preserve">composition, expanded to include representatives of Node Operators,</w:t>
      </w:r>
      <w:r>
        <w:t xml:space="preserve"> </w:t>
      </w:r>
      <w:r>
        <w:t xml:space="preserve">Verification Providers, publishers, civil society organizations, and</w:t>
      </w:r>
      <w:r>
        <w:t xml:space="preserve"> </w:t>
      </w:r>
      <w:r>
        <w:t xml:space="preserve">academic institutions, as described in Part X.</w:t>
      </w:r>
    </w:p>
    <w:bookmarkEnd w:id="161"/>
    <w:bookmarkStart w:id="162" w:name="transition-to-the-network-period"/>
    <w:p>
      <w:pPr>
        <w:pStyle w:val="Heading3"/>
      </w:pPr>
      <w:r>
        <w:t xml:space="preserve">7.3.3 Transition to the Network Period</w:t>
      </w:r>
    </w:p>
    <w:p>
      <w:pPr>
        <w:pStyle w:val="FirstParagraph"/>
      </w:pPr>
      <w:r>
        <w:t xml:space="preserve">The transition from the Founding Period to the Network Period is</w:t>
      </w:r>
      <w:r>
        <w:t xml:space="preserve"> </w:t>
      </w:r>
      <w:r>
        <w:t xml:space="preserve">initiated by a supermajority ratification of the AI Trust Council on the</w:t>
      </w:r>
      <w:r>
        <w:t xml:space="preserve"> </w:t>
      </w:r>
      <w:r>
        <w:t xml:space="preserve">satisfaction of the conditions identified in the Charter. The conditions</w:t>
      </w:r>
      <w:r>
        <w:t xml:space="preserve"> </w:t>
      </w:r>
      <w:r>
        <w:t xml:space="preserve">include the establishment of the Network Period accreditation procedure</w:t>
      </w:r>
      <w:r>
        <w:t xml:space="preserve"> </w:t>
      </w:r>
      <w:r>
        <w:t xml:space="preserve">for Node Operators, the establishment of the Network Period economic</w:t>
      </w:r>
      <w:r>
        <w:t xml:space="preserve"> </w:t>
      </w:r>
      <w:r>
        <w:t xml:space="preserve">model, the expansion of the Council to its Network Period composition,</w:t>
      </w:r>
      <w:r>
        <w:t xml:space="preserve"> </w:t>
      </w:r>
      <w:r>
        <w:t xml:space="preserve">the engagement with at least one standards organization for the formal</w:t>
      </w:r>
      <w:r>
        <w:t xml:space="preserve"> </w:t>
      </w:r>
      <w:r>
        <w:t xml:space="preserve">standardization of the protocol, and the satisfaction of operational</w:t>
      </w:r>
      <w:r>
        <w:t xml:space="preserve"> </w:t>
      </w:r>
      <w:r>
        <w:t xml:space="preserve">stability indicators for the Founding Period network.</w:t>
      </w:r>
    </w:p>
    <w:bookmarkEnd w:id="162"/>
    <w:bookmarkEnd w:id="163"/>
    <w:bookmarkStart w:id="169" w:name="Xac3abfb5f1833c33fe71d4b3622bf3d7b689812"/>
    <w:p>
      <w:pPr>
        <w:pStyle w:val="Heading2"/>
      </w:pPr>
      <w:r>
        <w:t xml:space="preserve">7.4 Synchronization, consistency, and partition tolerance</w:t>
      </w:r>
    </w:p>
    <w:bookmarkStart w:id="164" w:name="synchronization-protocol"/>
    <w:p>
      <w:pPr>
        <w:pStyle w:val="Heading3"/>
      </w:pPr>
      <w:r>
        <w:t xml:space="preserve">7.4.1 Synchronization protocol</w:t>
      </w:r>
    </w:p>
    <w:p>
      <w:pPr>
        <w:pStyle w:val="FirstParagraph"/>
      </w:pPr>
      <w:r>
        <w:t xml:space="preserve">The federation operates a synchronization protocol by which entries</w:t>
      </w:r>
      <w:r>
        <w:t xml:space="preserve"> </w:t>
      </w:r>
      <w:r>
        <w:t xml:space="preserve">produced by one Full Node are propagated to other Full Nodes. The</w:t>
      </w:r>
      <w:r>
        <w:t xml:space="preserve"> </w:t>
      </w:r>
      <w:r>
        <w:t xml:space="preserve">synchronization protocol is a gossip protocol over an authenticated</w:t>
      </w:r>
      <w:r>
        <w:t xml:space="preserve"> </w:t>
      </w:r>
      <w:r>
        <w:t xml:space="preserve">transport layer. A Full Node periodically (the published synchronization</w:t>
      </w:r>
      <w:r>
        <w:t xml:space="preserve"> </w:t>
      </w:r>
      <w:r>
        <w:t xml:space="preserve">interval is one second under nominal operating conditions) announces to</w:t>
      </w:r>
      <w:r>
        <w:t xml:space="preserve"> </w:t>
      </w:r>
      <w:r>
        <w:t xml:space="preserve">its peers the identifiers of entries it has produced or received since</w:t>
      </w:r>
      <w:r>
        <w:t xml:space="preserve"> </w:t>
      </w:r>
      <w:r>
        <w:t xml:space="preserve">the prior announcement. Peers request the payloads of entries they do</w:t>
      </w:r>
      <w:r>
        <w:t xml:space="preserve"> </w:t>
      </w:r>
      <w:r>
        <w:t xml:space="preserve">not already hold. The transport layer is TLS 1.3 with the hybrid</w:t>
      </w:r>
      <w:r>
        <w:t xml:space="preserve"> </w:t>
      </w:r>
      <w:r>
        <w:t xml:space="preserve">post-quantum key agreement described in Part III.</w:t>
      </w:r>
    </w:p>
    <w:bookmarkEnd w:id="164"/>
    <w:bookmarkStart w:id="165" w:name="consistency-model"/>
    <w:p>
      <w:pPr>
        <w:pStyle w:val="Heading3"/>
      </w:pPr>
      <w:r>
        <w:t xml:space="preserve">7.4.2 Consistency model</w:t>
      </w:r>
    </w:p>
    <w:p>
      <w:pPr>
        <w:pStyle w:val="FirstParagraph"/>
      </w:pPr>
      <w:r>
        <w:t xml:space="preserve">The federation supplies an eventually consistent view of the DAG. An</w:t>
      </w:r>
      <w:r>
        <w:t xml:space="preserve"> </w:t>
      </w:r>
      <w:r>
        <w:t xml:space="preserve">entry produced by a Full Node is propagated to other Full Nodes within a</w:t>
      </w:r>
      <w:r>
        <w:t xml:space="preserve"> </w:t>
      </w:r>
      <w:r>
        <w:t xml:space="preserve">published synchronization horizon (the published target is five seconds</w:t>
      </w:r>
      <w:r>
        <w:t xml:space="preserve"> </w:t>
      </w:r>
      <w:r>
        <w:t xml:space="preserve">at the ninety-fifth percentile for entries propagated to all Full Nodes</w:t>
      </w:r>
      <w:r>
        <w:t xml:space="preserve"> </w:t>
      </w:r>
      <w:r>
        <w:t xml:space="preserve">in the Founding Period network). Within the synchronization horizon,</w:t>
      </w:r>
      <w:r>
        <w:t xml:space="preserve"> </w:t>
      </w:r>
      <w:r>
        <w:t xml:space="preserve">different Full Nodes may have different views of the DAG; outside the</w:t>
      </w:r>
      <w:r>
        <w:t xml:space="preserve"> </w:t>
      </w:r>
      <w:r>
        <w:t xml:space="preserve">synchronization horizon, the views converge.</w:t>
      </w:r>
    </w:p>
    <w:p>
      <w:pPr>
        <w:pStyle w:val="BodyText"/>
      </w:pPr>
      <w:r>
        <w:t xml:space="preserve">The eventual consistency model is appropriate to the protocol’s</w:t>
      </w:r>
      <w:r>
        <w:t xml:space="preserve"> </w:t>
      </w:r>
      <w:r>
        <w:t xml:space="preserve">operational profile. A CTID holder signing a TIP-CONTENT record and a</w:t>
      </w:r>
      <w:r>
        <w:t xml:space="preserve"> </w:t>
      </w:r>
      <w:r>
        <w:t xml:space="preserve">reader verifying the record are typically separated in time by an</w:t>
      </w:r>
      <w:r>
        <w:t xml:space="preserve"> </w:t>
      </w:r>
      <w:r>
        <w:t xml:space="preserve">interval substantially greater than the synchronization horizon. Where a</w:t>
      </w:r>
      <w:r>
        <w:t xml:space="preserve"> </w:t>
      </w:r>
      <w:r>
        <w:t xml:space="preserve">reader requires the highest-assurance verification of a recent record,</w:t>
      </w:r>
      <w:r>
        <w:t xml:space="preserve"> </w:t>
      </w:r>
      <w:r>
        <w:t xml:space="preserve">the reader’s software may query multiple Full Nodes and may withhold the</w:t>
      </w:r>
      <w:r>
        <w:t xml:space="preserve"> </w:t>
      </w:r>
      <w:r>
        <w:t xml:space="preserve">Verified-class display until the record has propagated to a quorum of</w:t>
      </w:r>
      <w:r>
        <w:t xml:space="preserve"> </w:t>
      </w:r>
      <w:r>
        <w:t xml:space="preserve">Full Nodes.</w:t>
      </w:r>
    </w:p>
    <w:bookmarkEnd w:id="165"/>
    <w:bookmarkStart w:id="166" w:name="partition-tolerance"/>
    <w:p>
      <w:pPr>
        <w:pStyle w:val="Heading3"/>
      </w:pPr>
      <w:r>
        <w:t xml:space="preserve">7.4.3 Partition tolerance</w:t>
      </w:r>
    </w:p>
    <w:p>
      <w:pPr>
        <w:pStyle w:val="FirstParagraph"/>
      </w:pPr>
      <w:r>
        <w:t xml:space="preserve">The federation tolerates the partition of one or more Full Nodes from</w:t>
      </w:r>
      <w:r>
        <w:t xml:space="preserve"> </w:t>
      </w:r>
      <w:r>
        <w:t xml:space="preserve">the remainder of the federation. A partitioned Full Node continues to</w:t>
      </w:r>
      <w:r>
        <w:t xml:space="preserve"> </w:t>
      </w:r>
      <w:r>
        <w:t xml:space="preserve">accept new entries from local CTID holders and Verification Providers,</w:t>
      </w:r>
      <w:r>
        <w:t xml:space="preserve"> </w:t>
      </w:r>
      <w:r>
        <w:t xml:space="preserve">queues outgoing entries for propagation, and continues to serve</w:t>
      </w:r>
      <w:r>
        <w:t xml:space="preserve"> </w:t>
      </w:r>
      <w:r>
        <w:t xml:space="preserve">historical entries to local readers. On the restoration of connectivity,</w:t>
      </w:r>
      <w:r>
        <w:t xml:space="preserve"> </w:t>
      </w:r>
      <w:r>
        <w:t xml:space="preserve">the queued outgoing entries are propagated and the synchronization</w:t>
      </w:r>
      <w:r>
        <w:t xml:space="preserve"> </w:t>
      </w:r>
      <w:r>
        <w:t xml:space="preserve">protocol resumes. The protocol does not require the agreement of a</w:t>
      </w:r>
      <w:r>
        <w:t xml:space="preserve"> </w:t>
      </w:r>
      <w:r>
        <w:t xml:space="preserve">quorum of Full Nodes for the production of new entries; an entry</w:t>
      </w:r>
      <w:r>
        <w:t xml:space="preserve"> </w:t>
      </w:r>
      <w:r>
        <w:t xml:space="preserve">produced by a partitioned Full Node is valid on its production and is</w:t>
      </w:r>
      <w:r>
        <w:t xml:space="preserve"> </w:t>
      </w:r>
      <w:r>
        <w:t xml:space="preserve">recognized as valid by the federation on synchronization.</w:t>
      </w:r>
    </w:p>
    <w:bookmarkEnd w:id="166"/>
    <w:bookmarkStart w:id="167" w:name="resolution-of-structural-ambiguity"/>
    <w:p>
      <w:pPr>
        <w:pStyle w:val="Heading3"/>
      </w:pPr>
      <w:r>
        <w:t xml:space="preserve">7.4.4 Resolution of structural ambiguity</w:t>
      </w:r>
    </w:p>
    <w:p>
      <w:pPr>
        <w:pStyle w:val="FirstParagraph"/>
      </w:pPr>
      <w:r>
        <w:t xml:space="preserve">The protocol’s design avoids the structural ambiguity that would</w:t>
      </w:r>
      <w:r>
        <w:t xml:space="preserve"> </w:t>
      </w:r>
      <w:r>
        <w:t xml:space="preserve">otherwise arise from concurrent production of entries by multiple Full</w:t>
      </w:r>
      <w:r>
        <w:t xml:space="preserve"> </w:t>
      </w:r>
      <w:r>
        <w:t xml:space="preserve">Nodes. Each entry’s identifier is derived deterministically from its</w:t>
      </w:r>
      <w:r>
        <w:t xml:space="preserve"> </w:t>
      </w:r>
      <w:r>
        <w:t xml:space="preserve">payload, its timestamp, and its references; concurrent entries are</w:t>
      </w:r>
      <w:r>
        <w:t xml:space="preserve"> </w:t>
      </w:r>
      <w:r>
        <w:t xml:space="preserve">accepted as siblings of the directed acyclic structure rather than as</w:t>
      </w:r>
      <w:r>
        <w:t xml:space="preserve"> </w:t>
      </w:r>
      <w:r>
        <w:t xml:space="preserve">competing versions of the same entry. A reader retrieving an entry</w:t>
      </w:r>
      <w:r>
        <w:t xml:space="preserve"> </w:t>
      </w:r>
      <w:r>
        <w:t xml:space="preserve">retrieves the same entry irrespective of which Full Node serves the</w:t>
      </w:r>
      <w:r>
        <w:t xml:space="preserve"> </w:t>
      </w:r>
      <w:r>
        <w:t xml:space="preserve">retrieval.</w:t>
      </w:r>
    </w:p>
    <w:bookmarkEnd w:id="167"/>
    <w:bookmarkStart w:id="168" w:name="time-consensus"/>
    <w:p>
      <w:pPr>
        <w:pStyle w:val="Heading3"/>
      </w:pPr>
      <w:r>
        <w:t xml:space="preserve">7.4.5 Time consensus</w:t>
      </w:r>
    </w:p>
    <w:p>
      <w:pPr>
        <w:pStyle w:val="FirstParagraph"/>
      </w:pPr>
      <w:r>
        <w:t xml:space="preserve">The federation relies on a time consensus protocol to bound the</w:t>
      </w:r>
      <w:r>
        <w:t xml:space="preserve"> </w:t>
      </w:r>
      <w:r>
        <w:t xml:space="preserve">divergence of timestamps recorded by Full Nodes. The protocol uses</w:t>
      </w:r>
      <w:r>
        <w:t xml:space="preserve"> </w:t>
      </w:r>
      <w:r>
        <w:t xml:space="preserve">Network Time Protocol with authenticated NTP servers operated by</w:t>
      </w:r>
      <w:r>
        <w:t xml:space="preserve"> </w:t>
      </w:r>
      <w:r>
        <w:t xml:space="preserve">national metrology institutions (the National Institute of Standards and</w:t>
      </w:r>
      <w:r>
        <w:t xml:space="preserve"> </w:t>
      </w:r>
      <w:r>
        <w:t xml:space="preserve">Technology in the United States, the Bureau International des Poids et</w:t>
      </w:r>
      <w:r>
        <w:t xml:space="preserve"> </w:t>
      </w:r>
      <w:r>
        <w:t xml:space="preserve">Mesures internationally, the National Physical Laboratory in the United</w:t>
      </w:r>
      <w:r>
        <w:t xml:space="preserve"> </w:t>
      </w:r>
      <w:r>
        <w:t xml:space="preserve">Kingdom, and the Measurement Standards Laboratory of New Zealand). Each</w:t>
      </w:r>
      <w:r>
        <w:t xml:space="preserve"> </w:t>
      </w:r>
      <w:r>
        <w:t xml:space="preserve">Full Node continuously monitors its time divergence from the consensus</w:t>
      </w:r>
      <w:r>
        <w:t xml:space="preserve"> </w:t>
      </w:r>
      <w:r>
        <w:t xml:space="preserve">and publishes a divergence indicator. Entries produced by a Full Node</w:t>
      </w:r>
      <w:r>
        <w:t xml:space="preserve"> </w:t>
      </w:r>
      <w:r>
        <w:t xml:space="preserve">whose divergence exceeds a published threshold are treated as suspect by</w:t>
      </w:r>
      <w:r>
        <w:t xml:space="preserve"> </w:t>
      </w:r>
      <w:r>
        <w:t xml:space="preserve">the federation pending the Node Operator’s resolution of the</w:t>
      </w:r>
      <w:r>
        <w:t xml:space="preserve"> </w:t>
      </w:r>
      <w:r>
        <w:t xml:space="preserve">divergence.</w:t>
      </w:r>
    </w:p>
    <w:bookmarkEnd w:id="168"/>
    <w:bookmarkEnd w:id="169"/>
    <w:bookmarkStart w:id="173" w:name="service-level-commitments"/>
    <w:p>
      <w:pPr>
        <w:pStyle w:val="Heading2"/>
      </w:pPr>
      <w:r>
        <w:t xml:space="preserve">7.5 Service level commitments</w:t>
      </w:r>
    </w:p>
    <w:bookmarkStart w:id="170" w:name="service-level-targets"/>
    <w:p>
      <w:pPr>
        <w:pStyle w:val="Heading3"/>
      </w:pPr>
      <w:r>
        <w:t xml:space="preserve">7.5.1 Service level targets</w:t>
      </w:r>
    </w:p>
    <w:p>
      <w:pPr>
        <w:pStyle w:val="FirstParagraph"/>
      </w:pPr>
      <w:r>
        <w:t xml:space="preserve">The Founding Node Operator Agreement specifies the service level</w:t>
      </w:r>
      <w:r>
        <w:t xml:space="preserve"> </w:t>
      </w:r>
      <w:r>
        <w:t xml:space="preserve">targets a Founding Node Operator commits to maintain. The published</w:t>
      </w:r>
      <w:r>
        <w:t xml:space="preserve"> </w:t>
      </w:r>
      <w:r>
        <w:t xml:space="preserve">service level targets at the publication of this whitepaper are:</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Indicator</w:t>
            </w:r>
          </w:p>
        </w:tc>
        <w:tc>
          <w:tcPr/>
          <w:p>
            <w:pPr>
              <w:pStyle w:val="Compact"/>
            </w:pPr>
            <w:r>
              <w:t xml:space="preserve">Target</w:t>
            </w:r>
          </w:p>
        </w:tc>
      </w:tr>
      <w:tr>
        <w:tc>
          <w:tcPr/>
          <w:p>
            <w:pPr>
              <w:pStyle w:val="Compact"/>
            </w:pPr>
            <w:r>
              <w:t xml:space="preserve">Node availability (monthly)</w:t>
            </w:r>
          </w:p>
        </w:tc>
        <w:tc>
          <w:tcPr/>
          <w:p>
            <w:pPr>
              <w:pStyle w:val="Compact"/>
            </w:pPr>
            <w:r>
              <w:t xml:space="preserve">99.9 per cent</w:t>
            </w:r>
          </w:p>
        </w:tc>
      </w:tr>
      <w:tr>
        <w:tc>
          <w:tcPr/>
          <w:p>
            <w:pPr>
              <w:pStyle w:val="Compact"/>
            </w:pPr>
            <w:r>
              <w:t xml:space="preserve">Entry production latency (95th percentile)</w:t>
            </w:r>
          </w:p>
        </w:tc>
        <w:tc>
          <w:tcPr/>
          <w:p>
            <w:pPr>
              <w:pStyle w:val="Compact"/>
            </w:pPr>
            <w:r>
              <w:t xml:space="preserve">Less than 250 milliseconds</w:t>
            </w:r>
          </w:p>
        </w:tc>
      </w:tr>
      <w:tr>
        <w:tc>
          <w:tcPr/>
          <w:p>
            <w:pPr>
              <w:pStyle w:val="Compact"/>
            </w:pPr>
            <w:r>
              <w:t xml:space="preserve">Entry propagation latency (95th percentile, full federation)</w:t>
            </w:r>
          </w:p>
        </w:tc>
        <w:tc>
          <w:tcPr/>
          <w:p>
            <w:pPr>
              <w:pStyle w:val="Compact"/>
            </w:pPr>
            <w:r>
              <w:t xml:space="preserve">Less than 5 seconds</w:t>
            </w:r>
          </w:p>
        </w:tc>
      </w:tr>
      <w:tr>
        <w:tc>
          <w:tcPr/>
          <w:p>
            <w:pPr>
              <w:pStyle w:val="Compact"/>
            </w:pPr>
            <w:r>
              <w:t xml:space="preserve">Synchronization completeness (24-hour window)</w:t>
            </w:r>
          </w:p>
        </w:tc>
        <w:tc>
          <w:tcPr/>
          <w:p>
            <w:pPr>
              <w:pStyle w:val="Compact"/>
            </w:pPr>
            <w:r>
              <w:t xml:space="preserve">100 per cent of produced entries propagated to all peer Full</w:t>
            </w:r>
          </w:p>
        </w:tc>
      </w:tr>
      <w:tr>
        <w:tc>
          <w:tcPr/>
          <w:p>
            <w:pPr>
              <w:pStyle w:val="Compact"/>
            </w:pPr>
            <w:r>
              <w:t xml:space="preserve">Nodes</w:t>
            </w:r>
          </w:p>
        </w:tc>
        <w:tc>
          <w:tcPr/>
          <w:p>
            <w:pPr>
              <w:pStyle w:val="Compact"/>
            </w:pPr>
          </w:p>
        </w:tc>
      </w:tr>
      <w:tr>
        <w:tc>
          <w:tcPr/>
          <w:p>
            <w:pPr>
              <w:pStyle w:val="Compact"/>
            </w:pPr>
            <w:r>
              <w:t xml:space="preserve">Incident response, severity 1 acknowledgment</w:t>
            </w:r>
          </w:p>
        </w:tc>
        <w:tc>
          <w:tcPr/>
          <w:p>
            <w:pPr>
              <w:pStyle w:val="Compact"/>
            </w:pPr>
            <w:r>
              <w:t xml:space="preserve">Within 30 minutes</w:t>
            </w:r>
          </w:p>
        </w:tc>
      </w:tr>
      <w:tr>
        <w:tc>
          <w:tcPr/>
          <w:p>
            <w:pPr>
              <w:pStyle w:val="Compact"/>
            </w:pPr>
            <w:r>
              <w:t xml:space="preserve">Incident response, severity 1 mitigation</w:t>
            </w:r>
          </w:p>
        </w:tc>
        <w:tc>
          <w:tcPr/>
          <w:p>
            <w:pPr>
              <w:pStyle w:val="Compact"/>
            </w:pPr>
            <w:r>
              <w:t xml:space="preserve">Within 4 hours</w:t>
            </w:r>
          </w:p>
        </w:tc>
      </w:tr>
      <w:tr>
        <w:tc>
          <w:tcPr/>
          <w:p>
            <w:pPr>
              <w:pStyle w:val="Compact"/>
            </w:pPr>
            <w:r>
              <w:t xml:space="preserve">Incident response, severity 2 acknowledgment</w:t>
            </w:r>
          </w:p>
        </w:tc>
        <w:tc>
          <w:tcPr/>
          <w:p>
            <w:pPr>
              <w:pStyle w:val="Compact"/>
            </w:pPr>
            <w:r>
              <w:t xml:space="preserve">Within 2 hours</w:t>
            </w:r>
          </w:p>
        </w:tc>
      </w:tr>
      <w:tr>
        <w:tc>
          <w:tcPr/>
          <w:p>
            <w:pPr>
              <w:pStyle w:val="Compact"/>
            </w:pPr>
            <w:r>
              <w:t xml:space="preserve">Incident response, severity 2 mitigation</w:t>
            </w:r>
          </w:p>
        </w:tc>
        <w:tc>
          <w:tcPr/>
          <w:p>
            <w:pPr>
              <w:pStyle w:val="Compact"/>
            </w:pPr>
            <w:r>
              <w:t xml:space="preserve">Within 24 hours</w:t>
            </w:r>
          </w:p>
        </w:tc>
      </w:tr>
      <w:tr>
        <w:tc>
          <w:tcPr/>
          <w:p>
            <w:pPr>
              <w:pStyle w:val="Compact"/>
            </w:pPr>
            <w:r>
              <w:t xml:space="preserve">Scheduled maintenance windows</w:t>
            </w:r>
          </w:p>
        </w:tc>
        <w:tc>
          <w:tcPr/>
          <w:p>
            <w:pPr>
              <w:pStyle w:val="Compact"/>
            </w:pPr>
            <w:r>
              <w:t xml:space="preserve">Published 30 days in advance</w:t>
            </w:r>
          </w:p>
        </w:tc>
      </w:tr>
      <w:tr>
        <w:tc>
          <w:tcPr/>
          <w:p>
            <w:pPr>
              <w:pStyle w:val="Compact"/>
            </w:pPr>
            <w:r>
              <w:t xml:space="preserve">Reporting cadence</w:t>
            </w:r>
          </w:p>
        </w:tc>
        <w:tc>
          <w:tcPr/>
          <w:p>
            <w:pPr>
              <w:pStyle w:val="Compact"/>
            </w:pPr>
            <w:r>
              <w:t xml:space="preserve">Monthly availability and incident report</w:t>
            </w:r>
          </w:p>
        </w:tc>
      </w:tr>
    </w:tbl>
    <w:bookmarkEnd w:id="170"/>
    <w:bookmarkStart w:id="171" w:name="service-level-remedies"/>
    <w:p>
      <w:pPr>
        <w:pStyle w:val="Heading3"/>
      </w:pPr>
      <w:r>
        <w:t xml:space="preserve">7.5.2 Service level remedies</w:t>
      </w:r>
    </w:p>
    <w:p>
      <w:pPr>
        <w:pStyle w:val="FirstParagraph"/>
      </w:pPr>
      <w:r>
        <w:t xml:space="preserve">Service level shortfalls are addressed by the Service Level Agreement</w:t>
      </w:r>
      <w:r>
        <w:t xml:space="preserve"> </w:t>
      </w:r>
      <w:r>
        <w:t xml:space="preserve">(Document 03 of the Founding Node Operator Package), which sets out the</w:t>
      </w:r>
      <w:r>
        <w:t xml:space="preserve"> </w:t>
      </w:r>
      <w:r>
        <w:t xml:space="preserve">conditions under which a shortfall is excused (force majeure, scheduled</w:t>
      </w:r>
      <w:r>
        <w:t xml:space="preserve"> </w:t>
      </w:r>
      <w:r>
        <w:t xml:space="preserve">maintenance within published windows, restoration following dependence</w:t>
      </w:r>
      <w:r>
        <w:t xml:space="preserve"> </w:t>
      </w:r>
      <w:r>
        <w:t xml:space="preserve">failures upstream of the Node Operator) and the conditions under which a</w:t>
      </w:r>
      <w:r>
        <w:t xml:space="preserve"> </w:t>
      </w:r>
      <w:r>
        <w:t xml:space="preserve">shortfall results in service credits, intensified monitoring,</w:t>
      </w:r>
      <w:r>
        <w:t xml:space="preserve"> </w:t>
      </w:r>
      <w:r>
        <w:t xml:space="preserve">remediation plan submission, or, in extreme cases, suspension of</w:t>
      </w:r>
      <w:r>
        <w:t xml:space="preserve"> </w:t>
      </w:r>
      <w:r>
        <w:t xml:space="preserve">Founding Node Operator status.</w:t>
      </w:r>
    </w:p>
    <w:bookmarkEnd w:id="171"/>
    <w:bookmarkStart w:id="172" w:name="incident-classification"/>
    <w:p>
      <w:pPr>
        <w:pStyle w:val="Heading3"/>
      </w:pPr>
      <w:r>
        <w:t xml:space="preserve">7.5.3 Incident classification</w:t>
      </w:r>
    </w:p>
    <w:p>
      <w:pPr>
        <w:pStyle w:val="FirstParagraph"/>
      </w:pPr>
      <w:r>
        <w:t xml:space="preserve">Incidents are classified into severity 1 (outage or compromise</w:t>
      </w:r>
      <w:r>
        <w:t xml:space="preserve"> </w:t>
      </w:r>
      <w:r>
        <w:t xml:space="preserve">affecting the production of new entries, the propagation of entries to</w:t>
      </w:r>
      <w:r>
        <w:t xml:space="preserve"> </w:t>
      </w:r>
      <w:r>
        <w:t xml:space="preserve">peers, or the integrity of historical entries), severity 2 (degradation</w:t>
      </w:r>
      <w:r>
        <w:t xml:space="preserve"> </w:t>
      </w:r>
      <w:r>
        <w:t xml:space="preserve">affecting the timeliness of entry production or propagation without</w:t>
      </w:r>
      <w:r>
        <w:t xml:space="preserve"> </w:t>
      </w:r>
      <w:r>
        <w:t xml:space="preserve">affecting availability or integrity), and severity 3 (operational</w:t>
      </w:r>
      <w:r>
        <w:t xml:space="preserve"> </w:t>
      </w:r>
      <w:r>
        <w:t xml:space="preserve">matters not affecting availability, timeliness, or integrity). The</w:t>
      </w:r>
      <w:r>
        <w:t xml:space="preserve"> </w:t>
      </w:r>
      <w:r>
        <w:t xml:space="preserve">classification is normative and is applied uniformly across the</w:t>
      </w:r>
      <w:r>
        <w:t xml:space="preserve"> </w:t>
      </w:r>
      <w:r>
        <w:t xml:space="preserve">federation.</w:t>
      </w:r>
    </w:p>
    <w:bookmarkEnd w:id="172"/>
    <w:bookmarkEnd w:id="173"/>
    <w:bookmarkStart w:id="174" w:name="Xb0e6fbd5c4f3c2f1218419b3d71d0df243d2f4a"/>
    <w:p>
      <w:pPr>
        <w:pStyle w:val="Heading2"/>
      </w:pPr>
      <w:r>
        <w:t xml:space="preserve">7.6 Geographic distribution of the Founding Period network</w:t>
      </w:r>
    </w:p>
    <w:p>
      <w:pPr>
        <w:pStyle w:val="FirstParagraph"/>
      </w:pPr>
      <w:r>
        <w:t xml:space="preserve">The Founding Period network, standing up in pre-Genesis operating</w:t>
      </w:r>
      <w:r>
        <w:t xml:space="preserve"> </w:t>
      </w:r>
      <w:r>
        <w:t xml:space="preserve">mode during the Pre-Genesis Period and continuing into production</w:t>
      </w:r>
      <w:r>
        <w:t xml:space="preserve"> </w:t>
      </w:r>
      <w:r>
        <w:t xml:space="preserve">operation from the Genesis Date, is distributed across four</w:t>
      </w:r>
      <w:r>
        <w:t xml:space="preserve"> </w:t>
      </w:r>
      <w:r>
        <w:t xml:space="preserve">jurisdictions: the United Kingdom (THE PRESCIENT PACHYDERM LTD), India</w:t>
      </w:r>
      <w:r>
        <w:t xml:space="preserve"> </w:t>
      </w:r>
      <w:r>
        <w:t xml:space="preserve">(AZLogics Private Limited), the United States (Apex Modular Solutions</w:t>
      </w:r>
      <w:r>
        <w:t xml:space="preserve"> </w:t>
      </w:r>
      <w:r>
        <w:t xml:space="preserve">LLC, Lonestar Data Holdings Inc., and The AI Lab Intelligence</w:t>
      </w:r>
      <w:r>
        <w:t xml:space="preserve"> </w:t>
      </w:r>
      <w:r>
        <w:t xml:space="preserve">Unobscured, Inc.), and New Zealand (Timpi International Ltd, deploying</w:t>
      </w:r>
      <w:r>
        <w:t xml:space="preserve"> </w:t>
      </w:r>
      <w:r>
        <w:t xml:space="preserve">from Christchurch).</w:t>
      </w:r>
    </w:p>
    <w:p>
      <w:pPr>
        <w:pStyle w:val="BodyText"/>
      </w:pPr>
      <w:r>
        <w:t xml:space="preserve">The four-jurisdiction distribution is selected to (a) avoid the</w:t>
      </w:r>
      <w:r>
        <w:t xml:space="preserve"> </w:t>
      </w:r>
      <w:r>
        <w:t xml:space="preserve">concentration of operational and legal risk in any single jurisdiction,</w:t>
      </w:r>
      <w:r>
        <w:t xml:space="preserve"> </w:t>
      </w:r>
      <w:r>
        <w:t xml:space="preserve">(b) supply a federation present in each of the principal regulatory</w:t>
      </w:r>
      <w:r>
        <w:t xml:space="preserve"> </w:t>
      </w:r>
      <w:r>
        <w:t xml:space="preserve">zones with which the protocol is designed to interoperate (the European</w:t>
      </w:r>
      <w:r>
        <w:t xml:space="preserve"> </w:t>
      </w:r>
      <w:r>
        <w:t xml:space="preserve">Union, through the United Kingdom node as a legally and geographically</w:t>
      </w:r>
      <w:r>
        <w:t xml:space="preserve"> </w:t>
      </w:r>
      <w:r>
        <w:t xml:space="preserve">proximate operator with the European Union, recognising that the United</w:t>
      </w:r>
      <w:r>
        <w:t xml:space="preserve"> </w:t>
      </w:r>
      <w:r>
        <w:t xml:space="preserve">Kingdom is not a Member State; the Indo-Pacific, through the India and</w:t>
      </w:r>
      <w:r>
        <w:t xml:space="preserve"> </w:t>
      </w:r>
      <w:r>
        <w:t xml:space="preserve">New Zealand nodes; and North America, through the two United States</w:t>
      </w:r>
      <w:r>
        <w:t xml:space="preserve"> </w:t>
      </w:r>
      <w:r>
        <w:t xml:space="preserve">nodes), (c) supply geographic latency reduction for readers in the</w:t>
      </w:r>
      <w:r>
        <w:t xml:space="preserve"> </w:t>
      </w:r>
      <w:r>
        <w:t xml:space="preserve">principal demand regions, and (d) supply jurisdictional diversity for</w:t>
      </w:r>
      <w:r>
        <w:t xml:space="preserve"> </w:t>
      </w:r>
      <w:r>
        <w:t xml:space="preserve">legal-process and warrant-canary purposes.</w:t>
      </w:r>
    </w:p>
    <w:p>
      <w:pPr>
        <w:pStyle w:val="BodyText"/>
      </w:pPr>
      <w:r>
        <w:t xml:space="preserve">The Network Period network is intended to expand to additional</w:t>
      </w:r>
      <w:r>
        <w:t xml:space="preserve"> </w:t>
      </w:r>
      <w:r>
        <w:t xml:space="preserve">jurisdictions on the conditions set out in the Charter, including</w:t>
      </w:r>
      <w:r>
        <w:t xml:space="preserve"> </w:t>
      </w:r>
      <w:r>
        <w:t xml:space="preserve">representation in the European Union (the Founding Period network does</w:t>
      </w:r>
      <w:r>
        <w:t xml:space="preserve"> </w:t>
      </w:r>
      <w:r>
        <w:t xml:space="preserve">not include a Node Operator in a Member State of the European Union, an</w:t>
      </w:r>
      <w:r>
        <w:t xml:space="preserve"> </w:t>
      </w:r>
      <w:r>
        <w:t xml:space="preserve">absence that the Network Period transition is intended to remedy), East</w:t>
      </w:r>
      <w:r>
        <w:t xml:space="preserve"> </w:t>
      </w:r>
      <w:r>
        <w:t xml:space="preserve">Asia, the Middle East, Africa, and South America.</w:t>
      </w:r>
    </w:p>
    <w:bookmarkEnd w:id="174"/>
    <w:bookmarkStart w:id="178" w:name="capacity-model-and-scaling-profile"/>
    <w:p>
      <w:pPr>
        <w:pStyle w:val="Heading2"/>
      </w:pPr>
      <w:r>
        <w:t xml:space="preserve">7.7 Capacity model and scaling profile</w:t>
      </w:r>
    </w:p>
    <w:p>
      <w:pPr>
        <w:pStyle w:val="FirstParagraph"/>
      </w:pPr>
      <w:r>
        <w:t xml:space="preserve">The Founding Period network is sized for an operational throughput of</w:t>
      </w:r>
      <w:r>
        <w:t xml:space="preserve"> </w:t>
      </w:r>
      <w:r>
        <w:t xml:space="preserve">one hundred entries per second sustained, with a peak capacity of one</w:t>
      </w:r>
      <w:r>
        <w:t xml:space="preserve"> </w:t>
      </w:r>
      <w:r>
        <w:t xml:space="preserve">thousand entries per second. The sustained throughput supports the</w:t>
      </w:r>
      <w:r>
        <w:t xml:space="preserve"> </w:t>
      </w:r>
      <w:r>
        <w:t xml:space="preserve">publication of approximately eight million entries per day, sufficient</w:t>
      </w:r>
      <w:r>
        <w:t xml:space="preserve"> </w:t>
      </w:r>
      <w:r>
        <w:t xml:space="preserve">for the Founding Period reader, publisher, and creator population</w:t>
      </w:r>
      <w:r>
        <w:t xml:space="preserve"> </w:t>
      </w:r>
      <w:r>
        <w:t xml:space="preserve">identified in the operational planning of The AI Lab.</w:t>
      </w:r>
    </w:p>
    <w:p>
      <w:pPr>
        <w:pStyle w:val="BodyText"/>
      </w:pPr>
      <w:r>
        <w:t xml:space="preserve">The Network Period scaling profile contemplates the expansion of the</w:t>
      </w:r>
      <w:r>
        <w:t xml:space="preserve"> </w:t>
      </w:r>
      <w:r>
        <w:t xml:space="preserve">federation to a throughput target of ten thousand entries per second</w:t>
      </w:r>
      <w:r>
        <w:t xml:space="preserve"> </w:t>
      </w:r>
      <w:r>
        <w:t xml:space="preserve">sustained, sufficient for adoption by major social platforms, publishing</w:t>
      </w:r>
      <w:r>
        <w:t xml:space="preserve"> </w:t>
      </w:r>
      <w:r>
        <w:t xml:space="preserve">platforms, and news organizations. The scaling is expected to be</w:t>
      </w:r>
      <w:r>
        <w:t xml:space="preserve"> </w:t>
      </w:r>
      <w:r>
        <w:t xml:space="preserve">horizontal: additional Full Nodes are added to the federation as load</w:t>
      </w:r>
      <w:r>
        <w:t xml:space="preserve"> </w:t>
      </w:r>
      <w:r>
        <w:t xml:space="preserve">and resilience requirements dictate. The protocol’s design avoids the</w:t>
      </w:r>
      <w:r>
        <w:t xml:space="preserve"> </w:t>
      </w:r>
      <w:r>
        <w:t xml:space="preserve">per-entry coordination overhead that would otherwise constrain</w:t>
      </w:r>
      <w:r>
        <w:t xml:space="preserve"> </w:t>
      </w:r>
      <w:r>
        <w:t xml:space="preserve">horizontal scaling.</w:t>
      </w:r>
    </w:p>
    <w:bookmarkStart w:id="175" w:name="storage-profile"/>
    <w:p>
      <w:pPr>
        <w:pStyle w:val="Heading3"/>
      </w:pPr>
      <w:r>
        <w:t xml:space="preserve">7.7.1 Storage profile</w:t>
      </w:r>
    </w:p>
    <w:p>
      <w:pPr>
        <w:pStyle w:val="FirstParagraph"/>
      </w:pPr>
      <w:r>
        <w:t xml:space="preserve">The storage profile of a Full Node is dominated by the long-term</w:t>
      </w:r>
      <w:r>
        <w:t xml:space="preserve"> </w:t>
      </w:r>
      <w:r>
        <w:t xml:space="preserve">retention of TIP-CONTENT record payloads. The published estimate is</w:t>
      </w:r>
      <w:r>
        <w:t xml:space="preserve"> </w:t>
      </w:r>
      <w:r>
        <w:t xml:space="preserve">approximately five kilobytes per TIP-CONTENT record averaged across</w:t>
      </w:r>
      <w:r>
        <w:t xml:space="preserve"> </w:t>
      </w:r>
      <w:r>
        <w:t xml:space="preserve">origin codes and content modalities. At the Founding Period sustained</w:t>
      </w:r>
      <w:r>
        <w:t xml:space="preserve"> </w:t>
      </w:r>
      <w:r>
        <w:t xml:space="preserve">throughput, the annual storage growth per Full Node is approximately one</w:t>
      </w:r>
      <w:r>
        <w:t xml:space="preserve"> </w:t>
      </w:r>
      <w:r>
        <w:t xml:space="preserve">hundred and fifty terabytes. The Technical Requirements Specification</w:t>
      </w:r>
      <w:r>
        <w:t xml:space="preserve"> </w:t>
      </w:r>
      <w:r>
        <w:t xml:space="preserve">published for Full Nodes provides for three-year and ten-year storage</w:t>
      </w:r>
      <w:r>
        <w:t xml:space="preserve"> </w:t>
      </w:r>
      <w:r>
        <w:t xml:space="preserve">sizing.</w:t>
      </w:r>
    </w:p>
    <w:bookmarkEnd w:id="175"/>
    <w:bookmarkStart w:id="176" w:name="bandwidth-profile"/>
    <w:p>
      <w:pPr>
        <w:pStyle w:val="Heading3"/>
      </w:pPr>
      <w:r>
        <w:t xml:space="preserve">7.7.2 Bandwidth profile</w:t>
      </w:r>
    </w:p>
    <w:p>
      <w:pPr>
        <w:pStyle w:val="FirstParagraph"/>
      </w:pPr>
      <w:r>
        <w:t xml:space="preserve">The bandwidth profile of a Full Node is dominated by the</w:t>
      </w:r>
      <w:r>
        <w:t xml:space="preserve"> </w:t>
      </w:r>
      <w:r>
        <w:t xml:space="preserve">synchronization protocol and by reader queries. The published estimate</w:t>
      </w:r>
      <w:r>
        <w:t xml:space="preserve"> </w:t>
      </w:r>
      <w:r>
        <w:t xml:space="preserve">is approximately one gigabit per second sustained and ten gigabits per</w:t>
      </w:r>
      <w:r>
        <w:t xml:space="preserve"> </w:t>
      </w:r>
      <w:r>
        <w:t xml:space="preserve">second peak. The Technical Requirements Specification provides for the</w:t>
      </w:r>
      <w:r>
        <w:t xml:space="preserve"> </w:t>
      </w:r>
      <w:r>
        <w:t xml:space="preserve">bandwidth sizing.</w:t>
      </w:r>
    </w:p>
    <w:bookmarkEnd w:id="176"/>
    <w:bookmarkStart w:id="177" w:name="computational-profile"/>
    <w:p>
      <w:pPr>
        <w:pStyle w:val="Heading3"/>
      </w:pPr>
      <w:r>
        <w:t xml:space="preserve">7.7.3 Computational profile</w:t>
      </w:r>
    </w:p>
    <w:p>
      <w:pPr>
        <w:pStyle w:val="FirstParagraph"/>
      </w:pPr>
      <w:r>
        <w:t xml:space="preserve">The computational profile of a Full Node is dominated by signature</w:t>
      </w:r>
      <w:r>
        <w:t xml:space="preserve"> </w:t>
      </w:r>
      <w:r>
        <w:t xml:space="preserve">verification (the federation verifies every incoming entry’s signature)</w:t>
      </w:r>
      <w:r>
        <w:t xml:space="preserve"> </w:t>
      </w:r>
      <w:r>
        <w:t xml:space="preserve">and, where the Node Operator participates in adjudication, by</w:t>
      </w:r>
      <w:r>
        <w:t xml:space="preserve"> </w:t>
      </w:r>
      <w:r>
        <w:t xml:space="preserve">AI-assisted pre-classification of disputes (described in Part VI Section</w:t>
      </w:r>
      <w:r>
        <w:t xml:space="preserve"> </w:t>
      </w:r>
      <w:r>
        <w:t xml:space="preserve">6.5.3). The published estimate is approximately twenty processor cores</w:t>
      </w:r>
      <w:r>
        <w:t xml:space="preserve"> </w:t>
      </w:r>
      <w:r>
        <w:t xml:space="preserve">sustained for signature verification and the graphics-processing-unit</w:t>
      </w:r>
      <w:r>
        <w:t xml:space="preserve"> </w:t>
      </w:r>
      <w:r>
        <w:t xml:space="preserve">specification described in Section 7.2.2 for adjudication support.</w:t>
      </w:r>
    </w:p>
    <w:bookmarkEnd w:id="177"/>
    <w:bookmarkEnd w:id="178"/>
    <w:bookmarkStart w:id="179" w:name="industry-support"/>
    <w:p>
      <w:pPr>
        <w:pStyle w:val="Heading2"/>
      </w:pPr>
      <w:r>
        <w:t xml:space="preserve">7.8 Industry support and program memberships</w:t>
      </w:r>
    </w:p>
    <w:p>
      <w:pPr>
        <w:pStyle w:val="FirstParagraph"/>
      </w:pPr>
      <w:r>
        <w:t xml:space="preserve">The Trust Identity Protocol’s reference implementation is built and</w:t>
      </w:r>
      <w:r>
        <w:t xml:space="preserve"> </w:t>
      </w:r>
      <w:r>
        <w:t xml:space="preserve">operated on commercial cloud, accelerator, and AI-model infrastructure</w:t>
      </w:r>
      <w:r>
        <w:t xml:space="preserve"> </w:t>
      </w:r>
      <w:r>
        <w:t xml:space="preserve">provided by a small number of major industry programs. The AI Lab</w:t>
      </w:r>
      <w:r>
        <w:t xml:space="preserve"> </w:t>
      </w:r>
      <w:r>
        <w:t xml:space="preserve">Intelligence Unobscured, Inc. maintains member status in the following</w:t>
      </w:r>
      <w:r>
        <w:t xml:space="preserve"> </w:t>
      </w:r>
      <w:r>
        <w:t xml:space="preserve">programs:</w:t>
      </w:r>
    </w:p>
    <w:p>
      <w:pPr>
        <w:pStyle w:val="Compact"/>
        <w:numPr>
          <w:ilvl w:val="0"/>
          <w:numId w:val="1018"/>
        </w:numPr>
      </w:pPr>
      <w:r>
        <w:t xml:space="preserve">NVIDIA Inception: graphics processing unit credits, AI hardware</w:t>
      </w:r>
      <w:r>
        <w:t xml:space="preserve"> </w:t>
      </w:r>
      <w:r>
        <w:t xml:space="preserve">access, technical resources, and the startup-development support</w:t>
      </w:r>
      <w:r>
        <w:t xml:space="preserve"> </w:t>
      </w:r>
      <w:r>
        <w:t xml:space="preserve">furnished by NVIDIA Corporation through its accelerator program.</w:t>
      </w:r>
    </w:p>
    <w:p>
      <w:pPr>
        <w:pStyle w:val="Compact"/>
        <w:numPr>
          <w:ilvl w:val="0"/>
          <w:numId w:val="1018"/>
        </w:numPr>
      </w:pPr>
      <w:r>
        <w:t xml:space="preserve">AWS Activate: cloud infrastructure credits, architectural</w:t>
      </w:r>
      <w:r>
        <w:t xml:space="preserve"> </w:t>
      </w:r>
      <w:r>
        <w:t xml:space="preserve">consultation, and developer-tools support furnished by Amazon Web</w:t>
      </w:r>
      <w:r>
        <w:t xml:space="preserve"> </w:t>
      </w:r>
      <w:r>
        <w:t xml:space="preserve">Services, Inc.</w:t>
      </w:r>
    </w:p>
    <w:p>
      <w:pPr>
        <w:pStyle w:val="Compact"/>
        <w:numPr>
          <w:ilvl w:val="0"/>
          <w:numId w:val="1018"/>
        </w:numPr>
      </w:pPr>
      <w:r>
        <w:t xml:space="preserve">Microsoft for Startups: cloud infrastructure credits, Azure services,</w:t>
      </w:r>
      <w:r>
        <w:t xml:space="preserve"> </w:t>
      </w:r>
      <w:r>
        <w:t xml:space="preserve">and developer-tools support furnished by Microsoft Corporation.</w:t>
      </w:r>
    </w:p>
    <w:p>
      <w:pPr>
        <w:pStyle w:val="Compact"/>
        <w:numPr>
          <w:ilvl w:val="0"/>
          <w:numId w:val="1018"/>
        </w:numPr>
      </w:pPr>
      <w:r>
        <w:t xml:space="preserve">Claude for Startups: AI model access and developer-tools support</w:t>
      </w:r>
      <w:r>
        <w:t xml:space="preserve"> </w:t>
      </w:r>
      <w:r>
        <w:t xml:space="preserve">furnished by Anthropic PBC.</w:t>
      </w:r>
    </w:p>
    <w:p>
      <w:pPr>
        <w:pStyle w:val="FirstParagraph"/>
      </w:pPr>
      <w:r>
        <w:t xml:space="preserve">These memberships reflect the commercial relationships through which</w:t>
      </w:r>
      <w:r>
        <w:t xml:space="preserve"> </w:t>
      </w:r>
      <w:r>
        <w:t xml:space="preserve">the protocol’s reference implementation, its development environments,</w:t>
      </w:r>
      <w:r>
        <w:t xml:space="preserve"> </w:t>
      </w:r>
      <w:r>
        <w:t xml:space="preserve">and its operational infrastructure are funded and supported. They do</w:t>
      </w:r>
      <w:r>
        <w:t xml:space="preserve"> </w:t>
      </w:r>
      <w:r>
        <w:t xml:space="preserve">NOT constitute:</w:t>
      </w:r>
    </w:p>
    <w:p>
      <w:pPr>
        <w:pStyle w:val="Compact"/>
        <w:numPr>
          <w:ilvl w:val="0"/>
          <w:numId w:val="1019"/>
        </w:numPr>
      </w:pPr>
      <w:r>
        <w:t xml:space="preserve">Endorsement of the Trust Identity Protocol by NVIDIA Corporation,</w:t>
      </w:r>
      <w:r>
        <w:t xml:space="preserve"> </w:t>
      </w:r>
      <w:r>
        <w:t xml:space="preserve">Amazon Web Services, Inc., Amazon.com, Inc., Microsoft Corporation,</w:t>
      </w:r>
      <w:r>
        <w:t xml:space="preserve"> </w:t>
      </w:r>
      <w:r>
        <w:t xml:space="preserve">or Anthropic PBC.</w:t>
      </w:r>
    </w:p>
    <w:p>
      <w:pPr>
        <w:pStyle w:val="Compact"/>
        <w:numPr>
          <w:ilvl w:val="0"/>
          <w:numId w:val="1019"/>
        </w:numPr>
      </w:pPr>
      <w:r>
        <w:t xml:space="preserve">Sponsorship of the AI Trust Council by any of the named companies.</w:t>
      </w:r>
    </w:p>
    <w:p>
      <w:pPr>
        <w:pStyle w:val="Compact"/>
        <w:numPr>
          <w:ilvl w:val="0"/>
          <w:numId w:val="1019"/>
        </w:numPr>
      </w:pPr>
      <w:r>
        <w:t xml:space="preserve">Operational backing of the federated network or of any Founding</w:t>
      </w:r>
      <w:r>
        <w:t xml:space="preserve"> </w:t>
      </w:r>
      <w:r>
        <w:t xml:space="preserve">Node.</w:t>
      </w:r>
    </w:p>
    <w:p>
      <w:pPr>
        <w:pStyle w:val="Compact"/>
        <w:numPr>
          <w:ilvl w:val="0"/>
          <w:numId w:val="1019"/>
        </w:numPr>
      </w:pPr>
      <w:r>
        <w:t xml:space="preserve">Execution of a Founding Node Operator Agreement, or undertaking of</w:t>
      </w:r>
      <w:r>
        <w:t xml:space="preserve"> </w:t>
      </w:r>
      <w:r>
        <w:t xml:space="preserve">any service-level commitment, by any of the named companies.</w:t>
      </w:r>
    </w:p>
    <w:p>
      <w:pPr>
        <w:pStyle w:val="FirstParagraph"/>
      </w:pPr>
      <w:r>
        <w:t xml:space="preserve">The Founding Node Operator network identified in Part VII Section</w:t>
      </w:r>
      <w:r>
        <w:t xml:space="preserve"> </w:t>
      </w:r>
      <w:r>
        <w:t xml:space="preserve">7.3.1 is constituted by the seven legal entities that have signed the</w:t>
      </w:r>
      <w:r>
        <w:t xml:space="preserve"> </w:t>
      </w:r>
      <w:r>
        <w:t xml:space="preserve">Founding Node Operator Agreement and the three additional Founding</w:t>
      </w:r>
      <w:r>
        <w:t xml:space="preserve"> </w:t>
      </w:r>
      <w:r>
        <w:t xml:space="preserve">Node Operators in accession during the Pre-Genesis Period. The named</w:t>
      </w:r>
      <w:r>
        <w:t xml:space="preserve"> </w:t>
      </w:r>
      <w:r>
        <w:t xml:space="preserve">program memberships above are vendor and developer-program</w:t>
      </w:r>
      <w:r>
        <w:t xml:space="preserve"> </w:t>
      </w:r>
      <w:r>
        <w:t xml:space="preserve">relationships, separate from and additional to, that operator network.</w:t>
      </w:r>
    </w:p>
    <w:p>
      <w:pPr>
        <w:pStyle w:val="BodyText"/>
      </w:pPr>
      <w:r>
        <w:t xml:space="preserve">The AI Lab acknowledges the practical contribution that these program</w:t>
      </w:r>
      <w:r>
        <w:t xml:space="preserve"> </w:t>
      </w:r>
      <w:r>
        <w:t xml:space="preserve">memberships make to the protocol’s accelerated path to production</w:t>
      </w:r>
      <w:r>
        <w:t xml:space="preserve"> </w:t>
      </w:r>
      <w:r>
        <w:t xml:space="preserve">readiness and to the affordability of building public-infrastructure</w:t>
      </w:r>
      <w:r>
        <w:t xml:space="preserve"> </w:t>
      </w:r>
      <w:r>
        <w:t xml:space="preserve">software at the scale described in this whitepaper.</w:t>
      </w:r>
    </w:p>
    <w:p>
      <w:r>
        <w:pict>
          <v:rect style="width:0;height:1.5pt" o:hralign="center" o:hrstd="t" o:hr="t"/>
        </w:pict>
      </w:r>
    </w:p>
    <w:p>
      <w:pPr>
        <w:pStyle w:val="FirstParagraph"/>
      </w:pPr>
      <w:r>
        <w:rPr>
          <w:b/>
          <w:bCs/>
        </w:rPr>
        <w:t xml:space="preserve">Contact The AI Lab regarding Part VII</w:t>
      </w:r>
    </w:p>
    <w:p>
      <w:pPr>
        <w:pStyle w:val="BodyText"/>
      </w:pPr>
      <w:r>
        <w:t xml:space="preserve">Founding Node Operator Applications:</w:t>
      </w:r>
      <w:r>
        <w:t xml:space="preserve"> </w:t>
      </w:r>
      <w:r>
        <w:rPr>
          <w:rStyle w:val="VerbatimChar"/>
        </w:rPr>
        <w:t xml:space="preserve">nodes@theailab.org</w:t>
      </w:r>
      <w:r>
        <w:t xml:space="preserve"> </w:t>
      </w:r>
      <w:r>
        <w:t xml:space="preserve">, theailab.org/founding-node Technical Inquiries:</w:t>
      </w:r>
      <w:r>
        <w:t xml:space="preserve"> </w:t>
      </w:r>
      <w:r>
        <w:rPr>
          <w:rStyle w:val="VerbatimChar"/>
        </w:rPr>
        <w:t xml:space="preserve">tip@theailab.org</w:t>
      </w:r>
      <w:r>
        <w:t xml:space="preserve"> </w:t>
      </w:r>
      <w:r>
        <w:t xml:space="preserve">Operations:</w:t>
      </w:r>
      <w:r>
        <w:t xml:space="preserve"> </w:t>
      </w:r>
      <w:r>
        <w:rPr>
          <w:rStyle w:val="VerbatimChar"/>
        </w:rPr>
        <w:t xml:space="preserve">operations@theailab.org</w:t>
      </w:r>
    </w:p>
    <w:p>
      <w:pPr>
        <w:pStyle w:val="BodyText"/>
      </w:pPr>
      <w:r>
        <w:t xml:space="preserve">The AI Lab Intelligence Unobscured, Inc. Wilmington, Delaware, United</w:t>
      </w:r>
      <w:r>
        <w:t xml:space="preserve"> </w:t>
      </w:r>
      <w:r>
        <w:t xml:space="preserve">States.</w:t>
      </w:r>
    </w:p>
    <w:bookmarkEnd w:id="179"/>
    <w:bookmarkEnd w:id="180"/>
    <w:bookmarkStart w:id="214" w:name="X848660ea128c1f23ffe31215356a6c4eef2d655"/>
    <w:p>
      <w:pPr>
        <w:pStyle w:val="Heading1"/>
      </w:pPr>
      <w:r>
        <w:t xml:space="preserve">Part VIII: Reference Implementation and Integration</w:t>
      </w:r>
    </w:p>
    <w:p>
      <w:pPr>
        <w:pStyle w:val="FirstParagraph"/>
      </w:pPr>
      <w:r>
        <w:t xml:space="preserve">This Part describes the reference implementations of the Trust</w:t>
      </w:r>
      <w:r>
        <w:t xml:space="preserve"> </w:t>
      </w:r>
      <w:r>
        <w:t xml:space="preserve">Identity Protocol published by The AI Lab. The reference implementations</w:t>
      </w:r>
      <w:r>
        <w:t xml:space="preserve"> </w:t>
      </w:r>
      <w:r>
        <w:t xml:space="preserve">comprise the REST API surface through which Verification Providers, Node</w:t>
      </w:r>
      <w:r>
        <w:t xml:space="preserve"> </w:t>
      </w:r>
      <w:r>
        <w:t xml:space="preserve">Operators, publishers, platforms, and readers interact with the</w:t>
      </w:r>
      <w:r>
        <w:t xml:space="preserve"> </w:t>
      </w:r>
      <w:r>
        <w:t xml:space="preserve">federation; the browser extension distributed for Chrome, Firefox, Arc,</w:t>
      </w:r>
      <w:r>
        <w:t xml:space="preserve"> </w:t>
      </w:r>
      <w:r>
        <w:t xml:space="preserve">and Safari; the</w:t>
      </w:r>
      <w:r>
        <w:t xml:space="preserve"> </w:t>
      </w:r>
      <w:r>
        <w:rPr>
          <w:rStyle w:val="VerbatimChar"/>
        </w:rPr>
        <w:t xml:space="preserve">&lt;tip-badge&gt;</w:t>
      </w:r>
      <w:r>
        <w:t xml:space="preserve"> </w:t>
      </w:r>
      <w:r>
        <w:t xml:space="preserve">web component for</w:t>
      </w:r>
      <w:r>
        <w:t xml:space="preserve"> </w:t>
      </w:r>
      <w:r>
        <w:t xml:space="preserve">publisher integration; the WordPress reference plugin for publishers</w:t>
      </w:r>
      <w:r>
        <w:t xml:space="preserve"> </w:t>
      </w:r>
      <w:r>
        <w:t xml:space="preserve">operating on the WordPress platform; the mobile web application; and the</w:t>
      </w:r>
      <w:r>
        <w:t xml:space="preserve"> </w:t>
      </w:r>
      <w:r>
        <w:t xml:space="preserve">software development kits planned for general-purpose integration in</w:t>
      </w:r>
      <w:r>
        <w:t xml:space="preserve"> </w:t>
      </w:r>
      <w:r>
        <w:t xml:space="preserve">commonly deployed application stacks. The reference implementations are</w:t>
      </w:r>
      <w:r>
        <w:t xml:space="preserve"> </w:t>
      </w:r>
      <w:r>
        <w:t xml:space="preserve">distributed under the TIP Protocol Code License Version 1.0 (TIPCL-1.0)</w:t>
      </w:r>
      <w:r>
        <w:t xml:space="preserve"> </w:t>
      </w:r>
      <w:r>
        <w:t xml:space="preserve">as described in Part X and Appendix F.</w:t>
      </w:r>
    </w:p>
    <w:bookmarkStart w:id="186" w:name="the-rest-api-surface"/>
    <w:p>
      <w:pPr>
        <w:pStyle w:val="Heading2"/>
      </w:pPr>
      <w:r>
        <w:t xml:space="preserve">8.1 The REST API surface</w:t>
      </w:r>
    </w:p>
    <w:p>
      <w:pPr>
        <w:pStyle w:val="FirstParagraph"/>
      </w:pPr>
      <w:r>
        <w:t xml:space="preserve">The Trust Identity Protocol publishes a REST API surface comprising</w:t>
      </w:r>
      <w:r>
        <w:t xml:space="preserve"> </w:t>
      </w:r>
      <w:r>
        <w:t xml:space="preserve">nineteen endpoints organized into five groups. The endpoints are</w:t>
      </w:r>
      <w:r>
        <w:t xml:space="preserve"> </w:t>
      </w:r>
      <w:r>
        <w:t xml:space="preserve">described in summary in this Section. The byte-level specification of</w:t>
      </w:r>
      <w:r>
        <w:t xml:space="preserve"> </w:t>
      </w:r>
      <w:r>
        <w:t xml:space="preserve">request and response schemas, error codes, authentication, rate</w:t>
      </w:r>
      <w:r>
        <w:t xml:space="preserve"> </w:t>
      </w:r>
      <w:r>
        <w:t xml:space="preserve">limiting, and conformance test vectors is set out in the canonical TIP</w:t>
      </w:r>
      <w:r>
        <w:t xml:space="preserve"> </w:t>
      </w:r>
      <w:r>
        <w:t xml:space="preserve">Protocol Specification.</w:t>
      </w:r>
    </w:p>
    <w:bookmarkStart w:id="181" w:name="endpoint-inventory"/>
    <w:p>
      <w:pPr>
        <w:pStyle w:val="Heading3"/>
      </w:pPr>
      <w:r>
        <w:t xml:space="preserve">8.1.1 Endpoint inventory</w:t>
      </w:r>
    </w:p>
    <w:p>
      <w:pPr>
        <w:pStyle w:val="FirstParagraph"/>
      </w:pPr>
      <w:r>
        <w:t xml:space="preserve">The endpoint inventory below summarizes the principal REST endpoints</w:t>
      </w:r>
      <w:r>
        <w:t xml:space="preserve"> </w:t>
      </w:r>
      <w:r>
        <w:t xml:space="preserve">of a TIP node. The canonical and complete list, including request</w:t>
      </w:r>
      <w:r>
        <w:t xml:space="preserve"> </w:t>
      </w:r>
      <w:r>
        <w:t xml:space="preserve">and response schemas, error codes, and conformance test vectors, is</w:t>
      </w:r>
      <w:r>
        <w:t xml:space="preserve"> </w:t>
      </w:r>
      <w:r>
        <w:t xml:space="preserve">maintained in the TIP Protocol Specification v5.0 at</w:t>
      </w:r>
      <w:r>
        <w:t xml:space="preserve"> </w:t>
      </w:r>
      <w:r>
        <w:t xml:space="preserve">github.com/theailaborg/tip-protocol. Endpoints are grouped here by</w:t>
      </w:r>
      <w:r>
        <w:t xml:space="preserve"> </w:t>
      </w:r>
      <w:r>
        <w:t xml:space="preserve">functional area.</w:t>
      </w:r>
    </w:p>
    <w:tbl>
      <w:tblPr>
        <w:tblStyle w:val="Table"/>
        <w:tblW w:type="pct" w:w="5000"/>
        <w:tblLayout w:type="fixed"/>
        <w:tblLook w:firstRow="1" w:lastRow="0" w:firstColumn="0" w:lastColumn="0" w:noHBand="0" w:noVBand="0" w:val="0020"/>
      </w:tblPr>
      <w:tblGrid>
        <w:gridCol w:w="1353"/>
        <w:gridCol w:w="3249"/>
        <w:gridCol w:w="3316"/>
      </w:tblGrid>
      <w:tr>
        <w:trPr>
          <w:tblHeader w:val="on"/>
        </w:trPr>
        <w:tc>
          <w:tcPr/>
          <w:p>
            <w:pPr>
              <w:pStyle w:val="Compact"/>
            </w:pPr>
            <w:r>
              <w:t xml:space="preserve">Group</w:t>
            </w:r>
          </w:p>
        </w:tc>
        <w:tc>
          <w:tcPr/>
          <w:p>
            <w:pPr>
              <w:pStyle w:val="Compact"/>
            </w:pPr>
            <w:r>
              <w:t xml:space="preserve">Endpoint</w:t>
            </w:r>
          </w:p>
        </w:tc>
        <w:tc>
          <w:tcPr/>
          <w:p>
            <w:pPr>
              <w:pStyle w:val="Compact"/>
            </w:pPr>
            <w:r>
              <w:t xml:space="preserve">Operation</w:t>
            </w:r>
          </w:p>
        </w:tc>
      </w:tr>
      <w:tr>
        <w:tc>
          <w:tcPr/>
          <w:p>
            <w:pPr>
              <w:pStyle w:val="Compact"/>
            </w:pPr>
            <w:r>
              <w:t xml:space="preserve">Identity</w:t>
            </w:r>
          </w:p>
        </w:tc>
        <w:tc>
          <w:tcPr/>
          <w:p>
            <w:pPr>
              <w:pStyle w:val="Compact"/>
            </w:pPr>
            <w:r>
              <w:rPr>
                <w:rStyle w:val="VerbatimChar"/>
              </w:rPr>
              <w:t xml:space="preserve">POST /v1/identity/register</w:t>
            </w:r>
          </w:p>
        </w:tc>
        <w:tc>
          <w:tcPr/>
          <w:p>
            <w:pPr>
              <w:pStyle w:val="Compact"/>
            </w:pPr>
            <w:r>
              <w:t xml:space="preserve">Register a TIP-ID (Verification Provider)</w:t>
            </w:r>
          </w:p>
        </w:tc>
      </w:tr>
      <w:tr>
        <w:tc>
          <w:tcPr/>
          <w:p>
            <w:pPr>
              <w:pStyle w:val="Compact"/>
            </w:pPr>
            <w:r>
              <w:t xml:space="preserve">Identity</w:t>
            </w:r>
          </w:p>
        </w:tc>
        <w:tc>
          <w:tcPr/>
          <w:p>
            <w:pPr>
              <w:pStyle w:val="Compact"/>
            </w:pPr>
            <w:r>
              <w:rPr>
                <w:rStyle w:val="VerbatimChar"/>
              </w:rPr>
              <w:t xml:space="preserve">GET /v1/identity/{tip_id}</w:t>
            </w:r>
          </w:p>
        </w:tc>
        <w:tc>
          <w:tcPr/>
          <w:p>
            <w:pPr>
              <w:pStyle w:val="Compact"/>
            </w:pPr>
            <w:r>
              <w:t xml:space="preserve">Retrieve TIP-ID metadata</w:t>
            </w:r>
          </w:p>
        </w:tc>
      </w:tr>
      <w:tr>
        <w:tc>
          <w:tcPr/>
          <w:p>
            <w:pPr>
              <w:pStyle w:val="Compact"/>
            </w:pPr>
            <w:r>
              <w:t xml:space="preserve">Identity</w:t>
            </w:r>
          </w:p>
        </w:tc>
        <w:tc>
          <w:tcPr/>
          <w:p>
            <w:pPr>
              <w:pStyle w:val="Compact"/>
            </w:pPr>
            <w:r>
              <w:rPr>
                <w:rStyle w:val="VerbatimChar"/>
              </w:rPr>
              <w:t xml:space="preserve">GET /v1/identity/{tip_id}/history</w:t>
            </w:r>
          </w:p>
        </w:tc>
        <w:tc>
          <w:tcPr/>
          <w:p>
            <w:pPr>
              <w:pStyle w:val="Compact"/>
            </w:pPr>
            <w:r>
              <w:t xml:space="preserve">Retrieve event history of a TIP-ID</w:t>
            </w:r>
          </w:p>
        </w:tc>
      </w:tr>
      <w:tr>
        <w:tc>
          <w:tcPr/>
          <w:p>
            <w:pPr>
              <w:pStyle w:val="Compact"/>
            </w:pPr>
            <w:r>
              <w:t xml:space="preserve">Identity</w:t>
            </w:r>
          </w:p>
        </w:tc>
        <w:tc>
          <w:tcPr/>
          <w:p>
            <w:pPr>
              <w:pStyle w:val="Compact"/>
            </w:pPr>
            <w:r>
              <w:rPr>
                <w:rStyle w:val="VerbatimChar"/>
              </w:rPr>
              <w:t xml:space="preserve">GET /v1/identity/{tip_id}/profile</w:t>
            </w:r>
          </w:p>
        </w:tc>
        <w:tc>
          <w:tcPr/>
          <w:p>
            <w:pPr>
              <w:pStyle w:val="Compact"/>
            </w:pPr>
            <w:r>
              <w:t xml:space="preserve">Retrieve TIP-ID public profile</w:t>
            </w:r>
          </w:p>
        </w:tc>
      </w:tr>
      <w:tr>
        <w:tc>
          <w:tcPr/>
          <w:p>
            <w:pPr>
              <w:pStyle w:val="Compact"/>
            </w:pPr>
            <w:r>
              <w:t xml:space="preserve">Identity</w:t>
            </w:r>
          </w:p>
        </w:tc>
        <w:tc>
          <w:tcPr/>
          <w:p>
            <w:pPr>
              <w:pStyle w:val="Compact"/>
            </w:pPr>
            <w:r>
              <w:rPr>
                <w:rStyle w:val="VerbatimChar"/>
              </w:rPr>
              <w:t xml:space="preserve">POST /v1/identity/{tip_id}/profile</w:t>
            </w:r>
          </w:p>
        </w:tc>
        <w:tc>
          <w:tcPr/>
          <w:p>
            <w:pPr>
              <w:pStyle w:val="Compact"/>
            </w:pPr>
            <w:r>
              <w:t xml:space="preserve">Update TIP-ID public profile</w:t>
            </w:r>
          </w:p>
        </w:tc>
      </w:tr>
      <w:tr>
        <w:tc>
          <w:tcPr/>
          <w:p>
            <w:pPr>
              <w:pStyle w:val="Compact"/>
            </w:pPr>
            <w:r>
              <w:t xml:space="preserve">Identity</w:t>
            </w:r>
          </w:p>
        </w:tc>
        <w:tc>
          <w:tcPr/>
          <w:p>
            <w:pPr>
              <w:pStyle w:val="Compact"/>
            </w:pPr>
            <w:r>
              <w:rPr>
                <w:rStyle w:val="VerbatimChar"/>
              </w:rPr>
              <w:t xml:space="preserve">GET /v1/identity/{tip_id}/score</w:t>
            </w:r>
          </w:p>
        </w:tc>
        <w:tc>
          <w:tcPr/>
          <w:p>
            <w:pPr>
              <w:pStyle w:val="Compact"/>
            </w:pPr>
            <w:r>
              <w:t xml:space="preserve">Retrieve the current Trust Score</w:t>
            </w:r>
          </w:p>
        </w:tc>
      </w:tr>
      <w:tr>
        <w:tc>
          <w:tcPr/>
          <w:p>
            <w:pPr>
              <w:pStyle w:val="Compact"/>
            </w:pPr>
            <w:r>
              <w:t xml:space="preserve">Identity</w:t>
            </w:r>
          </w:p>
        </w:tc>
        <w:tc>
          <w:tcPr/>
          <w:p>
            <w:pPr>
              <w:pStyle w:val="Compact"/>
            </w:pPr>
            <w:r>
              <w:rPr>
                <w:rStyle w:val="VerbatimChar"/>
              </w:rPr>
              <w:t xml:space="preserve">GET /v1/identity/{tip_id}/seal</w:t>
            </w:r>
          </w:p>
        </w:tc>
        <w:tc>
          <w:tcPr/>
          <w:p>
            <w:pPr>
              <w:pStyle w:val="Compact"/>
            </w:pPr>
            <w:r>
              <w:t xml:space="preserve">Render the AI Trust ID Seal as SVG</w:t>
            </w:r>
          </w:p>
        </w:tc>
      </w:tr>
      <w:tr>
        <w:tc>
          <w:tcPr/>
          <w:p>
            <w:pPr>
              <w:pStyle w:val="Compact"/>
            </w:pPr>
            <w:r>
              <w:t xml:space="preserve">Identity</w:t>
            </w:r>
          </w:p>
        </w:tc>
        <w:tc>
          <w:tcPr/>
          <w:p>
            <w:pPr>
              <w:pStyle w:val="Compact"/>
            </w:pPr>
            <w:r>
              <w:rPr>
                <w:rStyle w:val="VerbatimChar"/>
              </w:rPr>
              <w:t xml:space="preserve">GET /v1/identity/lookup</w:t>
            </w:r>
          </w:p>
        </w:tc>
        <w:tc>
          <w:tcPr/>
          <w:p>
            <w:pPr>
              <w:pStyle w:val="Compact"/>
            </w:pPr>
            <w:r>
              <w:t xml:space="preserve">Look up TIP-ID by query</w:t>
            </w:r>
          </w:p>
        </w:tc>
      </w:tr>
      <w:tr>
        <w:tc>
          <w:tcPr/>
          <w:p>
            <w:pPr>
              <w:pStyle w:val="Compact"/>
            </w:pPr>
            <w:r>
              <w:t xml:space="preserve">Identity</w:t>
            </w:r>
          </w:p>
        </w:tc>
        <w:tc>
          <w:tcPr/>
          <w:p>
            <w:pPr>
              <w:pStyle w:val="Compact"/>
            </w:pPr>
            <w:r>
              <w:rPr>
                <w:rStyle w:val="VerbatimChar"/>
              </w:rPr>
              <w:t xml:space="preserve">GET /v1/identity/by-dedup-hash/{dedup_hash}</w:t>
            </w:r>
          </w:p>
        </w:tc>
        <w:tc>
          <w:tcPr/>
          <w:p>
            <w:pPr>
              <w:pStyle w:val="Compact"/>
            </w:pPr>
            <w:r>
              <w:t xml:space="preserve">Key-recovery pre-flight check</w:t>
            </w:r>
          </w:p>
        </w:tc>
      </w:tr>
      <w:tr>
        <w:tc>
          <w:tcPr/>
          <w:p>
            <w:pPr>
              <w:pStyle w:val="Compact"/>
            </w:pPr>
            <w:r>
              <w:t xml:space="preserve">Identity</w:t>
            </w:r>
          </w:p>
        </w:tc>
        <w:tc>
          <w:tcPr/>
          <w:p>
            <w:pPr>
              <w:pStyle w:val="Compact"/>
            </w:pPr>
            <w:r>
              <w:rPr>
                <w:rStyle w:val="VerbatimChar"/>
              </w:rPr>
              <w:t xml:space="preserve">POST /v1/identity/{tip_id}/keys/recover</w:t>
            </w:r>
          </w:p>
        </w:tc>
        <w:tc>
          <w:tcPr/>
          <w:p>
            <w:pPr>
              <w:pStyle w:val="Compact"/>
            </w:pPr>
            <w:r>
              <w:t xml:space="preserve">Submit a key recovery transaction</w:t>
            </w:r>
          </w:p>
        </w:tc>
      </w:tr>
      <w:tr>
        <w:tc>
          <w:tcPr/>
          <w:p>
            <w:pPr>
              <w:pStyle w:val="Compact"/>
            </w:pPr>
            <w:r>
              <w:t xml:space="preserve">Verification</w:t>
            </w:r>
          </w:p>
        </w:tc>
        <w:tc>
          <w:tcPr/>
          <w:p>
            <w:pPr>
              <w:pStyle w:val="Compact"/>
            </w:pPr>
            <w:r>
              <w:rPr>
                <w:rStyle w:val="VerbatimChar"/>
              </w:rPr>
              <w:t xml:space="preserve">POST /v1/verify/session</w:t>
            </w:r>
          </w:p>
        </w:tc>
        <w:tc>
          <w:tcPr/>
          <w:p>
            <w:pPr>
              <w:pStyle w:val="Compact"/>
            </w:pPr>
            <w:r>
              <w:t xml:space="preserve">Open a verification session</w:t>
            </w:r>
          </w:p>
        </w:tc>
      </w:tr>
      <w:tr>
        <w:tc>
          <w:tcPr/>
          <w:p>
            <w:pPr>
              <w:pStyle w:val="Compact"/>
            </w:pPr>
            <w:r>
              <w:t xml:space="preserve">Verification</w:t>
            </w:r>
          </w:p>
        </w:tc>
        <w:tc>
          <w:tcPr/>
          <w:p>
            <w:pPr>
              <w:pStyle w:val="Compact"/>
            </w:pPr>
            <w:r>
              <w:rPr>
                <w:rStyle w:val="VerbatimChar"/>
              </w:rPr>
              <w:t xml:space="preserve">GET /v1/verify/{id}/webauthn-challenge</w:t>
            </w:r>
          </w:p>
        </w:tc>
        <w:tc>
          <w:tcPr/>
          <w:p>
            <w:pPr>
              <w:pStyle w:val="Compact"/>
            </w:pPr>
            <w:r>
              <w:t xml:space="preserve">WebAuthn challenge</w:t>
            </w:r>
          </w:p>
        </w:tc>
      </w:tr>
      <w:tr>
        <w:tc>
          <w:tcPr/>
          <w:p>
            <w:pPr>
              <w:pStyle w:val="Compact"/>
            </w:pPr>
            <w:r>
              <w:t xml:space="preserve">Verification</w:t>
            </w:r>
          </w:p>
        </w:tc>
        <w:tc>
          <w:tcPr/>
          <w:p>
            <w:pPr>
              <w:pStyle w:val="Compact"/>
            </w:pPr>
            <w:r>
              <w:rPr>
                <w:rStyle w:val="VerbatimChar"/>
              </w:rPr>
              <w:t xml:space="preserve">POST /v1/verify/{id}/gov-id</w:t>
            </w:r>
          </w:p>
        </w:tc>
        <w:tc>
          <w:tcPr/>
          <w:p>
            <w:pPr>
              <w:pStyle w:val="Compact"/>
            </w:pPr>
            <w:r>
              <w:t xml:space="preserve">Submit government ID step</w:t>
            </w:r>
          </w:p>
        </w:tc>
      </w:tr>
      <w:tr>
        <w:tc>
          <w:tcPr/>
          <w:p>
            <w:pPr>
              <w:pStyle w:val="Compact"/>
            </w:pPr>
            <w:r>
              <w:t xml:space="preserve">Verification</w:t>
            </w:r>
          </w:p>
        </w:tc>
        <w:tc>
          <w:tcPr/>
          <w:p>
            <w:pPr>
              <w:pStyle w:val="Compact"/>
            </w:pPr>
            <w:r>
              <w:rPr>
                <w:rStyle w:val="VerbatimChar"/>
              </w:rPr>
              <w:t xml:space="preserve">POST /v1/verify/{id}/biometric</w:t>
            </w:r>
          </w:p>
        </w:tc>
        <w:tc>
          <w:tcPr/>
          <w:p>
            <w:pPr>
              <w:pStyle w:val="Compact"/>
            </w:pPr>
            <w:r>
              <w:t xml:space="preserve">Submit biometric step</w:t>
            </w:r>
          </w:p>
        </w:tc>
      </w:tr>
      <w:tr>
        <w:tc>
          <w:tcPr/>
          <w:p>
            <w:pPr>
              <w:pStyle w:val="Compact"/>
            </w:pPr>
            <w:r>
              <w:t xml:space="preserve">Verification</w:t>
            </w:r>
          </w:p>
        </w:tc>
        <w:tc>
          <w:tcPr/>
          <w:p>
            <w:pPr>
              <w:pStyle w:val="Compact"/>
            </w:pPr>
            <w:r>
              <w:rPr>
                <w:rStyle w:val="VerbatimChar"/>
              </w:rPr>
              <w:t xml:space="preserve">POST /v1/verify/{id}/liveness</w:t>
            </w:r>
          </w:p>
        </w:tc>
        <w:tc>
          <w:tcPr/>
          <w:p>
            <w:pPr>
              <w:pStyle w:val="Compact"/>
            </w:pPr>
            <w:r>
              <w:t xml:space="preserve">Submit liveness step</w:t>
            </w:r>
          </w:p>
        </w:tc>
      </w:tr>
      <w:tr>
        <w:tc>
          <w:tcPr/>
          <w:p>
            <w:pPr>
              <w:pStyle w:val="Compact"/>
            </w:pPr>
            <w:r>
              <w:t xml:space="preserve">Verification</w:t>
            </w:r>
          </w:p>
        </w:tc>
        <w:tc>
          <w:tcPr/>
          <w:p>
            <w:pPr>
              <w:pStyle w:val="Compact"/>
            </w:pPr>
            <w:r>
              <w:rPr>
                <w:rStyle w:val="VerbatimChar"/>
              </w:rPr>
              <w:t xml:space="preserve">POST /v1/verify/{id}/social</w:t>
            </w:r>
          </w:p>
        </w:tc>
        <w:tc>
          <w:tcPr/>
          <w:p>
            <w:pPr>
              <w:pStyle w:val="Compact"/>
            </w:pPr>
            <w:r>
              <w:t xml:space="preserve">Submit social verification step</w:t>
            </w:r>
          </w:p>
        </w:tc>
      </w:tr>
      <w:tr>
        <w:tc>
          <w:tcPr/>
          <w:p>
            <w:pPr>
              <w:pStyle w:val="Compact"/>
            </w:pPr>
            <w:r>
              <w:t xml:space="preserve">Verification</w:t>
            </w:r>
          </w:p>
        </w:tc>
        <w:tc>
          <w:tcPr/>
          <w:p>
            <w:pPr>
              <w:pStyle w:val="Compact"/>
            </w:pPr>
            <w:r>
              <w:rPr>
                <w:rStyle w:val="VerbatimChar"/>
              </w:rPr>
              <w:t xml:space="preserve">POST /v1/verify/{id}/submit</w:t>
            </w:r>
          </w:p>
        </w:tc>
        <w:tc>
          <w:tcPr/>
          <w:p>
            <w:pPr>
              <w:pStyle w:val="Compact"/>
            </w:pPr>
            <w:r>
              <w:t xml:space="preserve">Submit completed verification session</w:t>
            </w:r>
          </w:p>
        </w:tc>
      </w:tr>
      <w:tr>
        <w:tc>
          <w:tcPr/>
          <w:p>
            <w:pPr>
              <w:pStyle w:val="Compact"/>
            </w:pPr>
            <w:r>
              <w:t xml:space="preserve">Verification</w:t>
            </w:r>
          </w:p>
        </w:tc>
        <w:tc>
          <w:tcPr/>
          <w:p>
            <w:pPr>
              <w:pStyle w:val="Compact"/>
            </w:pPr>
            <w:r>
              <w:rPr>
                <w:rStyle w:val="VerbatimChar"/>
              </w:rPr>
              <w:t xml:space="preserve">GET /v1/verify/{id}/status</w:t>
            </w:r>
          </w:p>
        </w:tc>
        <w:tc>
          <w:tcPr/>
          <w:p>
            <w:pPr>
              <w:pStyle w:val="Compact"/>
            </w:pPr>
            <w:r>
              <w:t xml:space="preserve">Poll session status</w:t>
            </w:r>
          </w:p>
        </w:tc>
      </w:tr>
      <w:tr>
        <w:tc>
          <w:tcPr/>
          <w:p>
            <w:pPr>
              <w:pStyle w:val="Compact"/>
            </w:pPr>
            <w:r>
              <w:t xml:space="preserve">Verification</w:t>
            </w:r>
          </w:p>
        </w:tc>
        <w:tc>
          <w:tcPr/>
          <w:p>
            <w:pPr>
              <w:pStyle w:val="Compact"/>
            </w:pPr>
            <w:r>
              <w:rPr>
                <w:rStyle w:val="VerbatimChar"/>
              </w:rPr>
              <w:t xml:space="preserve">GET /v1/verify/{id}/resume</w:t>
            </w:r>
          </w:p>
        </w:tc>
        <w:tc>
          <w:tcPr/>
          <w:p>
            <w:pPr>
              <w:pStyle w:val="Compact"/>
            </w:pPr>
            <w:r>
              <w:t xml:space="preserve">Resume an interrupted session</w:t>
            </w:r>
          </w:p>
        </w:tc>
      </w:tr>
      <w:tr>
        <w:tc>
          <w:tcPr/>
          <w:p>
            <w:pPr>
              <w:pStyle w:val="Compact"/>
            </w:pPr>
            <w:r>
              <w:t xml:space="preserve">Provenance</w:t>
            </w:r>
          </w:p>
        </w:tc>
        <w:tc>
          <w:tcPr/>
          <w:p>
            <w:pPr>
              <w:pStyle w:val="Compact"/>
            </w:pPr>
            <w:r>
              <w:rPr>
                <w:rStyle w:val="VerbatimChar"/>
              </w:rPr>
              <w:t xml:space="preserve">POST /v1/content/register</w:t>
            </w:r>
          </w:p>
        </w:tc>
        <w:tc>
          <w:tcPr/>
          <w:p>
            <w:pPr>
              <w:pStyle w:val="Compact"/>
            </w:pPr>
            <w:r>
              <w:t xml:space="preserve">Register a TIP-CONTENT record</w:t>
            </w:r>
          </w:p>
        </w:tc>
      </w:tr>
      <w:tr>
        <w:tc>
          <w:tcPr/>
          <w:p>
            <w:pPr>
              <w:pStyle w:val="Compact"/>
            </w:pPr>
            <w:r>
              <w:t xml:space="preserve">Provenance</w:t>
            </w:r>
          </w:p>
        </w:tc>
        <w:tc>
          <w:tcPr/>
          <w:p>
            <w:pPr>
              <w:pStyle w:val="Compact"/>
            </w:pPr>
            <w:r>
              <w:rPr>
                <w:rStyle w:val="VerbatimChar"/>
              </w:rPr>
              <w:t xml:space="preserve">GET /v1/content/{ctid}</w:t>
            </w:r>
          </w:p>
        </w:tc>
        <w:tc>
          <w:tcPr/>
          <w:p>
            <w:pPr>
              <w:pStyle w:val="Compact"/>
            </w:pPr>
            <w:r>
              <w:t xml:space="preserve">Retrieve a TIP-CONTENT record</w:t>
            </w:r>
          </w:p>
        </w:tc>
      </w:tr>
      <w:tr>
        <w:tc>
          <w:tcPr/>
          <w:p>
            <w:pPr>
              <w:pStyle w:val="Compact"/>
            </w:pPr>
            <w:r>
              <w:t xml:space="preserve">Provenance</w:t>
            </w:r>
          </w:p>
        </w:tc>
        <w:tc>
          <w:tcPr/>
          <w:p>
            <w:pPr>
              <w:pStyle w:val="Compact"/>
            </w:pPr>
            <w:r>
              <w:rPr>
                <w:rStyle w:val="VerbatimChar"/>
              </w:rPr>
              <w:t xml:space="preserve">POST /v1/content/{ctid}/update-origin</w:t>
            </w:r>
          </w:p>
        </w:tc>
        <w:tc>
          <w:tcPr/>
          <w:p>
            <w:pPr>
              <w:pStyle w:val="Compact"/>
            </w:pPr>
            <w:r>
              <w:t xml:space="preserve">Record a CONTENT_UPDATED event</w:t>
            </w:r>
          </w:p>
        </w:tc>
      </w:tr>
      <w:tr>
        <w:tc>
          <w:tcPr/>
          <w:p>
            <w:pPr>
              <w:pStyle w:val="Compact"/>
            </w:pPr>
            <w:r>
              <w:t xml:space="preserve">Provenance</w:t>
            </w:r>
          </w:p>
        </w:tc>
        <w:tc>
          <w:tcPr/>
          <w:p>
            <w:pPr>
              <w:pStyle w:val="Compact"/>
            </w:pPr>
            <w:r>
              <w:rPr>
                <w:rStyle w:val="VerbatimChar"/>
              </w:rPr>
              <w:t xml:space="preserve">POST /v1/content/{ctid}/dispute</w:t>
            </w:r>
          </w:p>
        </w:tc>
        <w:tc>
          <w:tcPr/>
          <w:p>
            <w:pPr>
              <w:pStyle w:val="Compact"/>
            </w:pPr>
            <w:r>
              <w:t xml:space="preserve">File a dispute against a content record</w:t>
            </w:r>
          </w:p>
        </w:tc>
      </w:tr>
      <w:tr>
        <w:tc>
          <w:tcPr/>
          <w:p>
            <w:pPr>
              <w:pStyle w:val="Compact"/>
            </w:pPr>
            <w:r>
              <w:t xml:space="preserve">Provenance</w:t>
            </w:r>
          </w:p>
        </w:tc>
        <w:tc>
          <w:tcPr/>
          <w:p>
            <w:pPr>
              <w:pStyle w:val="Compact"/>
            </w:pPr>
            <w:r>
              <w:rPr>
                <w:rStyle w:val="VerbatimChar"/>
              </w:rPr>
              <w:t xml:space="preserve">GET /v1/disputes/{dispute_id}</w:t>
            </w:r>
          </w:p>
        </w:tc>
        <w:tc>
          <w:tcPr/>
          <w:p>
            <w:pPr>
              <w:pStyle w:val="Compact"/>
            </w:pPr>
            <w:r>
              <w:t xml:space="preserve">Retrieve dispute state</w:t>
            </w:r>
          </w:p>
        </w:tc>
      </w:tr>
      <w:tr>
        <w:tc>
          <w:tcPr/>
          <w:p>
            <w:pPr>
              <w:pStyle w:val="Compact"/>
            </w:pPr>
            <w:r>
              <w:t xml:space="preserve">Domain</w:t>
            </w:r>
          </w:p>
        </w:tc>
        <w:tc>
          <w:tcPr/>
          <w:p>
            <w:pPr>
              <w:pStyle w:val="Compact"/>
            </w:pPr>
            <w:r>
              <w:rPr>
                <w:rStyle w:val="VerbatimChar"/>
              </w:rPr>
              <w:t xml:space="preserve">POST /v1/domain/register</w:t>
            </w:r>
          </w:p>
        </w:tc>
        <w:tc>
          <w:tcPr/>
          <w:p>
            <w:pPr>
              <w:pStyle w:val="Compact"/>
            </w:pPr>
            <w:r>
              <w:t xml:space="preserve">Register a publisher domain</w:t>
            </w:r>
          </w:p>
        </w:tc>
      </w:tr>
      <w:tr>
        <w:tc>
          <w:tcPr/>
          <w:p>
            <w:pPr>
              <w:pStyle w:val="Compact"/>
            </w:pPr>
            <w:r>
              <w:t xml:space="preserve">Domain</w:t>
            </w:r>
          </w:p>
        </w:tc>
        <w:tc>
          <w:tcPr/>
          <w:p>
            <w:pPr>
              <w:pStyle w:val="Compact"/>
            </w:pPr>
            <w:r>
              <w:rPr>
                <w:rStyle w:val="VerbatimChar"/>
              </w:rPr>
              <w:t xml:space="preserve">POST /v1/domain/{domain}/verify</w:t>
            </w:r>
          </w:p>
        </w:tc>
        <w:tc>
          <w:tcPr/>
          <w:p>
            <w:pPr>
              <w:pStyle w:val="Compact"/>
            </w:pPr>
            <w:r>
              <w:t xml:space="preserve">Verify a publisher domain</w:t>
            </w:r>
          </w:p>
        </w:tc>
      </w:tr>
      <w:tr>
        <w:tc>
          <w:tcPr/>
          <w:p>
            <w:pPr>
              <w:pStyle w:val="Compact"/>
            </w:pPr>
            <w:r>
              <w:t xml:space="preserve">Reviews</w:t>
            </w:r>
          </w:p>
        </w:tc>
        <w:tc>
          <w:tcPr/>
          <w:p>
            <w:pPr>
              <w:pStyle w:val="Compact"/>
            </w:pPr>
            <w:r>
              <w:rPr>
                <w:rStyle w:val="VerbatimChar"/>
              </w:rPr>
              <w:t xml:space="preserve">GET /v1/reviews</w:t>
            </w:r>
          </w:p>
        </w:tc>
        <w:tc>
          <w:tcPr/>
          <w:p>
            <w:pPr>
              <w:pStyle w:val="Compact"/>
            </w:pPr>
            <w:r>
              <w:t xml:space="preserve">List reviews open to the requester</w:t>
            </w:r>
          </w:p>
        </w:tc>
      </w:tr>
      <w:tr>
        <w:tc>
          <w:tcPr/>
          <w:p>
            <w:pPr>
              <w:pStyle w:val="Compact"/>
            </w:pPr>
            <w:r>
              <w:t xml:space="preserve">Reviews</w:t>
            </w:r>
          </w:p>
        </w:tc>
        <w:tc>
          <w:tcPr/>
          <w:p>
            <w:pPr>
              <w:pStyle w:val="Compact"/>
            </w:pPr>
            <w:r>
              <w:rPr>
                <w:rStyle w:val="VerbatimChar"/>
              </w:rPr>
              <w:t xml:space="preserve">POST /v1/reviews/{review_id}/confirm</w:t>
            </w:r>
          </w:p>
        </w:tc>
        <w:tc>
          <w:tcPr/>
          <w:p>
            <w:pPr>
              <w:pStyle w:val="Compact"/>
            </w:pPr>
            <w:r>
              <w:t xml:space="preserve">Confirm a review</w:t>
            </w:r>
          </w:p>
        </w:tc>
      </w:tr>
      <w:tr>
        <w:tc>
          <w:tcPr/>
          <w:p>
            <w:pPr>
              <w:pStyle w:val="Compact"/>
            </w:pPr>
            <w:r>
              <w:t xml:space="preserve">Reviews</w:t>
            </w:r>
          </w:p>
        </w:tc>
        <w:tc>
          <w:tcPr/>
          <w:p>
            <w:pPr>
              <w:pStyle w:val="Compact"/>
            </w:pPr>
            <w:r>
              <w:rPr>
                <w:rStyle w:val="VerbatimChar"/>
              </w:rPr>
              <w:t xml:space="preserve">POST /v1/reviews/{review_id}/dismiss</w:t>
            </w:r>
          </w:p>
        </w:tc>
        <w:tc>
          <w:tcPr/>
          <w:p>
            <w:pPr>
              <w:pStyle w:val="Compact"/>
            </w:pPr>
            <w:r>
              <w:t xml:space="preserve">Dismiss a review</w:t>
            </w:r>
          </w:p>
        </w:tc>
      </w:tr>
      <w:tr>
        <w:tc>
          <w:tcPr/>
          <w:p>
            <w:pPr>
              <w:pStyle w:val="Compact"/>
            </w:pPr>
            <w:r>
              <w:t xml:space="preserve">VP Registry</w:t>
            </w:r>
          </w:p>
        </w:tc>
        <w:tc>
          <w:tcPr/>
          <w:p>
            <w:pPr>
              <w:pStyle w:val="Compact"/>
            </w:pPr>
            <w:r>
              <w:rPr>
                <w:rStyle w:val="VerbatimChar"/>
              </w:rPr>
              <w:t xml:space="preserve">GET /v1/vps</w:t>
            </w:r>
          </w:p>
        </w:tc>
        <w:tc>
          <w:tcPr/>
          <w:p>
            <w:pPr>
              <w:pStyle w:val="Compact"/>
            </w:pPr>
            <w:r>
              <w:t xml:space="preserve">List accredited Verification Providers</w:t>
            </w:r>
          </w:p>
        </w:tc>
      </w:tr>
      <w:tr>
        <w:tc>
          <w:tcPr/>
          <w:p>
            <w:pPr>
              <w:pStyle w:val="Compact"/>
            </w:pPr>
            <w:r>
              <w:t xml:space="preserve">VP Registry</w:t>
            </w:r>
          </w:p>
        </w:tc>
        <w:tc>
          <w:tcPr/>
          <w:p>
            <w:pPr>
              <w:pStyle w:val="Compact"/>
            </w:pPr>
            <w:r>
              <w:rPr>
                <w:rStyle w:val="VerbatimChar"/>
              </w:rPr>
              <w:t xml:space="preserve">GET /v1/vp/{vp_id}</w:t>
            </w:r>
          </w:p>
        </w:tc>
        <w:tc>
          <w:tcPr/>
          <w:p>
            <w:pPr>
              <w:pStyle w:val="Compact"/>
            </w:pPr>
            <w:r>
              <w:t xml:space="preserve">Retrieve VP details</w:t>
            </w:r>
          </w:p>
        </w:tc>
      </w:tr>
      <w:tr>
        <w:tc>
          <w:tcPr/>
          <w:p>
            <w:pPr>
              <w:pStyle w:val="Compact"/>
            </w:pPr>
            <w:r>
              <w:t xml:space="preserve">VP Registry</w:t>
            </w:r>
          </w:p>
        </w:tc>
        <w:tc>
          <w:tcPr/>
          <w:p>
            <w:pPr>
              <w:pStyle w:val="Compact"/>
            </w:pPr>
            <w:r>
              <w:rPr>
                <w:rStyle w:val="VerbatimChar"/>
              </w:rPr>
              <w:t xml:space="preserve">POST /v1/vp/register</w:t>
            </w:r>
          </w:p>
        </w:tc>
        <w:tc>
          <w:tcPr/>
          <w:p>
            <w:pPr>
              <w:pStyle w:val="Compact"/>
            </w:pPr>
            <w:r>
              <w:t xml:space="preserve">Submit a VP accreditation application</w:t>
            </w:r>
          </w:p>
        </w:tc>
      </w:tr>
      <w:tr>
        <w:tc>
          <w:tcPr/>
          <w:p>
            <w:pPr>
              <w:pStyle w:val="Compact"/>
            </w:pPr>
            <w:r>
              <w:t xml:space="preserve">Network and DAG</w:t>
            </w:r>
          </w:p>
        </w:tc>
        <w:tc>
          <w:tcPr/>
          <w:p>
            <w:pPr>
              <w:pStyle w:val="Compact"/>
            </w:pPr>
            <w:r>
              <w:rPr>
                <w:rStyle w:val="VerbatimChar"/>
              </w:rPr>
              <w:t xml:space="preserve">GET /v1/node/info</w:t>
            </w:r>
          </w:p>
        </w:tc>
        <w:tc>
          <w:tcPr/>
          <w:p>
            <w:pPr>
              <w:pStyle w:val="Compact"/>
            </w:pPr>
            <w:r>
              <w:t xml:space="preserve">Node identity and configuration</w:t>
            </w:r>
          </w:p>
        </w:tc>
      </w:tr>
      <w:tr>
        <w:tc>
          <w:tcPr/>
          <w:p>
            <w:pPr>
              <w:pStyle w:val="Compact"/>
            </w:pPr>
            <w:r>
              <w:t xml:space="preserve">Network and DAG</w:t>
            </w:r>
          </w:p>
        </w:tc>
        <w:tc>
          <w:tcPr/>
          <w:p>
            <w:pPr>
              <w:pStyle w:val="Compact"/>
            </w:pPr>
            <w:r>
              <w:rPr>
                <w:rStyle w:val="VerbatimChar"/>
              </w:rPr>
              <w:t xml:space="preserve">GET /v1/node/peers</w:t>
            </w:r>
          </w:p>
        </w:tc>
        <w:tc>
          <w:tcPr/>
          <w:p>
            <w:pPr>
              <w:pStyle w:val="Compact"/>
            </w:pPr>
            <w:r>
              <w:t xml:space="preserve">Node peer list</w:t>
            </w:r>
          </w:p>
        </w:tc>
      </w:tr>
      <w:tr>
        <w:tc>
          <w:tcPr/>
          <w:p>
            <w:pPr>
              <w:pStyle w:val="Compact"/>
            </w:pPr>
            <w:r>
              <w:t xml:space="preserve">Network and DAG</w:t>
            </w:r>
          </w:p>
        </w:tc>
        <w:tc>
          <w:tcPr/>
          <w:p>
            <w:pPr>
              <w:pStyle w:val="Compact"/>
            </w:pPr>
            <w:r>
              <w:rPr>
                <w:rStyle w:val="VerbatimChar"/>
              </w:rPr>
              <w:t xml:space="preserve">GET /v1/dag/stats</w:t>
            </w:r>
          </w:p>
        </w:tc>
        <w:tc>
          <w:tcPr/>
          <w:p>
            <w:pPr>
              <w:pStyle w:val="Compact"/>
            </w:pPr>
            <w:r>
              <w:t xml:space="preserve">DAG metrics</w:t>
            </w:r>
          </w:p>
        </w:tc>
      </w:tr>
      <w:tr>
        <w:tc>
          <w:tcPr/>
          <w:p>
            <w:pPr>
              <w:pStyle w:val="Compact"/>
            </w:pPr>
            <w:r>
              <w:t xml:space="preserve">Network and DAG</w:t>
            </w:r>
          </w:p>
        </w:tc>
        <w:tc>
          <w:tcPr/>
          <w:p>
            <w:pPr>
              <w:pStyle w:val="Compact"/>
            </w:pPr>
            <w:r>
              <w:rPr>
                <w:rStyle w:val="VerbatimChar"/>
              </w:rPr>
              <w:t xml:space="preserve">GET /v1/dedup/merkle-root</w:t>
            </w:r>
          </w:p>
        </w:tc>
        <w:tc>
          <w:tcPr/>
          <w:p>
            <w:pPr>
              <w:pStyle w:val="Compact"/>
            </w:pPr>
            <w:r>
              <w:t xml:space="preserve">Current dedup registry Merkle root</w:t>
            </w:r>
          </w:p>
        </w:tc>
      </w:tr>
      <w:tr>
        <w:tc>
          <w:tcPr/>
          <w:p>
            <w:pPr>
              <w:pStyle w:val="Compact"/>
            </w:pPr>
            <w:r>
              <w:t xml:space="preserve">Network and DAG</w:t>
            </w:r>
          </w:p>
        </w:tc>
        <w:tc>
          <w:tcPr/>
          <w:p>
            <w:pPr>
              <w:pStyle w:val="Compact"/>
            </w:pPr>
            <w:r>
              <w:rPr>
                <w:rStyle w:val="VerbatimChar"/>
              </w:rPr>
              <w:t xml:space="preserve">POST /v1/dedup/check</w:t>
            </w:r>
          </w:p>
        </w:tc>
        <w:tc>
          <w:tcPr/>
          <w:p>
            <w:pPr>
              <w:pStyle w:val="Compact"/>
            </w:pPr>
            <w:r>
              <w:t xml:space="preserve">ZK uniqueness check</w:t>
            </w:r>
          </w:p>
        </w:tc>
      </w:tr>
      <w:tr>
        <w:tc>
          <w:tcPr/>
          <w:p>
            <w:pPr>
              <w:pStyle w:val="Compact"/>
            </w:pPr>
            <w:r>
              <w:t xml:space="preserve">Network and DAG</w:t>
            </w:r>
          </w:p>
        </w:tc>
        <w:tc>
          <w:tcPr/>
          <w:p>
            <w:pPr>
              <w:pStyle w:val="Compact"/>
            </w:pPr>
            <w:r>
              <w:rPr>
                <w:rStyle w:val="VerbatimChar"/>
              </w:rPr>
              <w:t xml:space="preserve">GET /v1/state-root</w:t>
            </w:r>
          </w:p>
        </w:tc>
        <w:tc>
          <w:tcPr/>
          <w:p>
            <w:pPr>
              <w:pStyle w:val="Compact"/>
            </w:pPr>
            <w:r>
              <w:t xml:space="preserve">Federation state root</w:t>
            </w:r>
          </w:p>
        </w:tc>
      </w:tr>
      <w:tr>
        <w:tc>
          <w:tcPr/>
          <w:p>
            <w:pPr>
              <w:pStyle w:val="Compact"/>
            </w:pPr>
            <w:r>
              <w:t xml:space="preserve">Network and DAG</w:t>
            </w:r>
          </w:p>
        </w:tc>
        <w:tc>
          <w:tcPr/>
          <w:p>
            <w:pPr>
              <w:pStyle w:val="Compact"/>
            </w:pPr>
            <w:r>
              <w:rPr>
                <w:rStyle w:val="VerbatimChar"/>
              </w:rPr>
              <w:t xml:space="preserve">GET /v1/revocations</w:t>
            </w:r>
          </w:p>
        </w:tc>
        <w:tc>
          <w:tcPr/>
          <w:p>
            <w:pPr>
              <w:pStyle w:val="Compact"/>
            </w:pPr>
            <w:r>
              <w:t xml:space="preserve">Current revocations</w:t>
            </w:r>
          </w:p>
        </w:tc>
      </w:tr>
    </w:tbl>
    <w:bookmarkEnd w:id="181"/>
    <w:bookmarkStart w:id="182" w:name="authentication"/>
    <w:p>
      <w:pPr>
        <w:pStyle w:val="Heading3"/>
      </w:pPr>
      <w:r>
        <w:t xml:space="preserve">8.1.2 Authentication</w:t>
      </w:r>
    </w:p>
    <w:p>
      <w:pPr>
        <w:pStyle w:val="FirstParagraph"/>
      </w:pPr>
      <w:r>
        <w:t xml:space="preserve">Authentication patterns vary by endpoint. Endpoints invoked by</w:t>
      </w:r>
      <w:r>
        <w:t xml:space="preserve"> </w:t>
      </w:r>
      <w:r>
        <w:t xml:space="preserve">Verification Providers (the issuance, revocation, and succession</w:t>
      </w:r>
      <w:r>
        <w:t xml:space="preserve"> </w:t>
      </w:r>
      <w:r>
        <w:t xml:space="preserve">endpoints) are authenticated by ML-DSA-65 signatures of the request</w:t>
      </w:r>
      <w:r>
        <w:t xml:space="preserve"> </w:t>
      </w:r>
      <w:r>
        <w:t xml:space="preserve">payload using the Verification Provider’s private key. Endpoints invoked</w:t>
      </w:r>
      <w:r>
        <w:t xml:space="preserve"> </w:t>
      </w:r>
      <w:r>
        <w:t xml:space="preserve">by CTID holders (the content publication and dispute filing endpoints)</w:t>
      </w:r>
      <w:r>
        <w:t xml:space="preserve"> </w:t>
      </w:r>
      <w:r>
        <w:t xml:space="preserve">are authenticated by ML-DSA-65 signatures of the request payload using</w:t>
      </w:r>
      <w:r>
        <w:t xml:space="preserve"> </w:t>
      </w:r>
      <w:r>
        <w:t xml:space="preserve">the CTID holder’s private key. Read endpoints (the retrieval endpoints</w:t>
      </w:r>
      <w:r>
        <w:t xml:space="preserve"> </w:t>
      </w:r>
      <w:r>
        <w:t xml:space="preserve">in the Identity, Provenance, Trust, and Network groups) are</w:t>
      </w:r>
      <w:r>
        <w:t xml:space="preserve"> </w:t>
      </w:r>
      <w:r>
        <w:t xml:space="preserve">unauthenticated to a default rate limit and admit signed authentication</w:t>
      </w:r>
      <w:r>
        <w:t xml:space="preserve"> </w:t>
      </w:r>
      <w:r>
        <w:t xml:space="preserve">for an elevated rate limit.</w:t>
      </w:r>
    </w:p>
    <w:bookmarkEnd w:id="182"/>
    <w:bookmarkStart w:id="183" w:name="rate-limiting"/>
    <w:p>
      <w:pPr>
        <w:pStyle w:val="Heading3"/>
      </w:pPr>
      <w:r>
        <w:t xml:space="preserve">8.1.3 Rate limiting</w:t>
      </w:r>
    </w:p>
    <w:p>
      <w:pPr>
        <w:pStyle w:val="FirstParagraph"/>
      </w:pPr>
      <w:r>
        <w:t xml:space="preserve">Rate limits are published in the canonical Specification and are</w:t>
      </w:r>
      <w:r>
        <w:t xml:space="preserve"> </w:t>
      </w:r>
      <w:r>
        <w:t xml:space="preserve">reviewed by the AI Trust Council on an annual basis. The published rate</w:t>
      </w:r>
      <w:r>
        <w:t xml:space="preserve"> </w:t>
      </w:r>
      <w:r>
        <w:t xml:space="preserve">limits are calibrated to support the operational profile of Verification</w:t>
      </w:r>
      <w:r>
        <w:t xml:space="preserve"> </w:t>
      </w:r>
      <w:r>
        <w:t xml:space="preserve">Providers, Node Operators, publishers, platforms, and reader-side</w:t>
      </w:r>
      <w:r>
        <w:t xml:space="preserve"> </w:t>
      </w:r>
      <w:r>
        <w:t xml:space="preserve">verification at the Founding Period scale. Commercial Licensees may</w:t>
      </w:r>
      <w:r>
        <w:t xml:space="preserve"> </w:t>
      </w:r>
      <w:r>
        <w:t xml:space="preserve">obtain elevated rate limits under the terms of their Commercial</w:t>
      </w:r>
      <w:r>
        <w:t xml:space="preserve"> </w:t>
      </w:r>
      <w:r>
        <w:t xml:space="preserve">License.</w:t>
      </w:r>
    </w:p>
    <w:bookmarkEnd w:id="183"/>
    <w:bookmarkStart w:id="184" w:name="error-model"/>
    <w:p>
      <w:pPr>
        <w:pStyle w:val="Heading3"/>
      </w:pPr>
      <w:r>
        <w:t xml:space="preserve">8.1.4 Error model</w:t>
      </w:r>
    </w:p>
    <w:p>
      <w:pPr>
        <w:pStyle w:val="FirstParagraph"/>
      </w:pPr>
      <w:r>
        <w:t xml:space="preserve">Errors are returned in a uniform structure conformant with RFC 9457</w:t>
      </w:r>
      <w:r>
        <w:t xml:space="preserve"> </w:t>
      </w:r>
      <w:r>
        <w:t xml:space="preserve">(Problem Details for HTTP APIs). The published error code registry is</w:t>
      </w:r>
      <w:r>
        <w:t xml:space="preserve"> </w:t>
      </w:r>
      <w:r>
        <w:t xml:space="preserve">normative; conformant implementations return error codes from the</w:t>
      </w:r>
      <w:r>
        <w:t xml:space="preserve"> </w:t>
      </w:r>
      <w:r>
        <w:t xml:space="preserve">registry only.</w:t>
      </w:r>
    </w:p>
    <w:bookmarkEnd w:id="184"/>
    <w:bookmarkStart w:id="185" w:name="versioning"/>
    <w:p>
      <w:pPr>
        <w:pStyle w:val="Heading3"/>
      </w:pPr>
      <w:r>
        <w:t xml:space="preserve">8.1.5 Versioning</w:t>
      </w:r>
    </w:p>
    <w:p>
      <w:pPr>
        <w:pStyle w:val="FirstParagraph"/>
      </w:pPr>
      <w:r>
        <w:t xml:space="preserve">The API surface is versioned at the path level. Version</w:t>
      </w:r>
      <w:r>
        <w:t xml:space="preserve"> </w:t>
      </w:r>
      <w:r>
        <w:rPr>
          <w:rStyle w:val="VerbatimChar"/>
        </w:rPr>
        <w:t xml:space="preserve">v1</w:t>
      </w:r>
      <w:r>
        <w:t xml:space="preserve"> </w:t>
      </w:r>
      <w:r>
        <w:t xml:space="preserve">is the version published at the publication of this</w:t>
      </w:r>
      <w:r>
        <w:t xml:space="preserve"> </w:t>
      </w:r>
      <w:r>
        <w:t xml:space="preserve">whitepaper. Backward-incompatible changes to the API surface require</w:t>
      </w:r>
      <w:r>
        <w:t xml:space="preserve"> </w:t>
      </w:r>
      <w:r>
        <w:t xml:space="preserve">ratification by the AI Trust Council under the supermajority threshold</w:t>
      </w:r>
      <w:r>
        <w:t xml:space="preserve"> </w:t>
      </w:r>
      <w:r>
        <w:t xml:space="preserve">of the Charter, are published at a successor path version, and are</w:t>
      </w:r>
      <w:r>
        <w:t xml:space="preserve"> </w:t>
      </w:r>
      <w:r>
        <w:t xml:space="preserve">accompanied by a deprecation schedule for the predecessor version of not</w:t>
      </w:r>
      <w:r>
        <w:t xml:space="preserve"> </w:t>
      </w:r>
      <w:r>
        <w:t xml:space="preserve">less than eighteen months.</w:t>
      </w:r>
    </w:p>
    <w:bookmarkEnd w:id="185"/>
    <w:bookmarkEnd w:id="186"/>
    <w:bookmarkStart w:id="192" w:name="browser-extension"/>
    <w:p>
      <w:pPr>
        <w:pStyle w:val="Heading2"/>
      </w:pPr>
      <w:r>
        <w:t xml:space="preserve">8.2 Browser extension</w:t>
      </w:r>
    </w:p>
    <w:p>
      <w:pPr>
        <w:pStyle w:val="FirstParagraph"/>
      </w:pPr>
      <w:r>
        <w:t xml:space="preserve">The Trust Identity Protocol browser extension is the principal</w:t>
      </w:r>
      <w:r>
        <w:t xml:space="preserve"> </w:t>
      </w:r>
      <w:r>
        <w:t xml:space="preserve">Creator Mode integration at the publication of this whitepaper.</w:t>
      </w:r>
    </w:p>
    <w:bookmarkStart w:id="187" w:name="supported-browsers"/>
    <w:p>
      <w:pPr>
        <w:pStyle w:val="Heading3"/>
      </w:pPr>
      <w:r>
        <w:t xml:space="preserve">8.2.1 Supported browsers</w:t>
      </w:r>
    </w:p>
    <w:p>
      <w:pPr>
        <w:pStyle w:val="FirstParagraph"/>
      </w:pPr>
      <w:r>
        <w:t xml:space="preserve">The browser extension is published and distributed for the following</w:t>
      </w:r>
      <w:r>
        <w:t xml:space="preserve"> </w:t>
      </w:r>
      <w:r>
        <w:t xml:space="preserve">browsers. Direct distribution URLs are provided where the extension</w:t>
      </w:r>
      <w:r>
        <w:t xml:space="preserve"> </w:t>
      </w:r>
      <w:r>
        <w:t xml:space="preserve">is already live in the corresponding store.</w:t>
      </w:r>
    </w:p>
    <w:tbl>
      <w:tblPr>
        <w:tblStyle w:val="Table"/>
        <w:tblW w:type="pct" w:w="5000"/>
        <w:tblLayout w:type="fixed"/>
        <w:tblLook w:firstRow="1" w:lastRow="0" w:firstColumn="0" w:lastColumn="0" w:noHBand="0" w:noVBand="0" w:val="0020"/>
      </w:tblPr>
      <w:tblGrid>
        <w:gridCol w:w="1305"/>
        <w:gridCol w:w="1642"/>
        <w:gridCol w:w="1811"/>
        <w:gridCol w:w="3159"/>
      </w:tblGrid>
      <w:tr>
        <w:trPr>
          <w:tblHeader w:val="on"/>
        </w:trPr>
        <w:tc>
          <w:tcPr/>
          <w:p>
            <w:pPr>
              <w:pStyle w:val="Compact"/>
            </w:pPr>
            <w:r>
              <w:t xml:space="preserve">Browser</w:t>
            </w:r>
          </w:p>
        </w:tc>
        <w:tc>
          <w:tcPr/>
          <w:p>
            <w:pPr>
              <w:pStyle w:val="Compact"/>
            </w:pPr>
            <w:r>
              <w:t xml:space="preserve">Distribution channel</w:t>
            </w:r>
          </w:p>
        </w:tc>
        <w:tc>
          <w:tcPr/>
          <w:p>
            <w:pPr>
              <w:pStyle w:val="Compact"/>
            </w:pPr>
            <w:r>
              <w:t xml:space="preserve">Manifest version</w:t>
            </w:r>
          </w:p>
        </w:tc>
        <w:tc>
          <w:tcPr/>
          <w:p>
            <w:pPr>
              <w:pStyle w:val="Compact"/>
            </w:pPr>
            <w:r>
              <w:t xml:space="preserve">Distribution URL</w:t>
            </w:r>
          </w:p>
        </w:tc>
      </w:tr>
      <w:tr>
        <w:tc>
          <w:tcPr/>
          <w:p>
            <w:pPr>
              <w:pStyle w:val="Compact"/>
            </w:pPr>
            <w:r>
              <w:t xml:space="preserve">Google Chrome</w:t>
            </w:r>
          </w:p>
        </w:tc>
        <w:tc>
          <w:tcPr/>
          <w:p>
            <w:pPr>
              <w:pStyle w:val="Compact"/>
            </w:pPr>
            <w:r>
              <w:t xml:space="preserve">Chrome Web Store</w:t>
            </w:r>
          </w:p>
        </w:tc>
        <w:tc>
          <w:tcPr/>
          <w:p>
            <w:pPr>
              <w:pStyle w:val="Compact"/>
            </w:pPr>
            <w:r>
              <w:t xml:space="preserve">Manifest V3</w:t>
            </w:r>
          </w:p>
        </w:tc>
        <w:tc>
          <w:tcPr/>
          <w:p>
            <w:pPr>
              <w:pStyle w:val="Compact"/>
            </w:pPr>
            <w:r>
              <w:t xml:space="preserve">chromewebstore.google.com/detail/hkobdcbofcgnimlcpacpeccbhcbgpmhc</w:t>
            </w:r>
          </w:p>
        </w:tc>
      </w:tr>
      <w:tr>
        <w:tc>
          <w:tcPr/>
          <w:p>
            <w:pPr>
              <w:pStyle w:val="Compact"/>
            </w:pPr>
            <w:r>
              <w:t xml:space="preserve">Mozilla Firefox</w:t>
            </w:r>
          </w:p>
        </w:tc>
        <w:tc>
          <w:tcPr/>
          <w:p>
            <w:pPr>
              <w:pStyle w:val="Compact"/>
            </w:pPr>
            <w:r>
              <w:t xml:space="preserve">Mozilla Add-ons (AMO)</w:t>
            </w:r>
          </w:p>
        </w:tc>
        <w:tc>
          <w:tcPr/>
          <w:p>
            <w:pPr>
              <w:pStyle w:val="Compact"/>
            </w:pPr>
            <w:r>
              <w:t xml:space="preserve">Manifest V2 with Manifest V3 transition</w:t>
            </w:r>
          </w:p>
        </w:tc>
        <w:tc>
          <w:tcPr/>
          <w:p>
            <w:pPr>
              <w:pStyle w:val="Compact"/>
            </w:pPr>
            <w:r>
              <w:t xml:space="preserve">addons.mozilla.org/en-US/firefox/addon/tip-know-what-s-real/</w:t>
            </w:r>
          </w:p>
        </w:tc>
      </w:tr>
      <w:tr>
        <w:tc>
          <w:tcPr/>
          <w:p>
            <w:pPr>
              <w:pStyle w:val="Compact"/>
            </w:pPr>
            <w:r>
              <w:t xml:space="preserve">Brave</w:t>
            </w:r>
          </w:p>
        </w:tc>
        <w:tc>
          <w:tcPr/>
          <w:p>
            <w:pPr>
              <w:pStyle w:val="Compact"/>
            </w:pPr>
            <w:r>
              <w:t xml:space="preserve">Chrome Web Store (Chromium-based)</w:t>
            </w:r>
          </w:p>
        </w:tc>
        <w:tc>
          <w:tcPr/>
          <w:p>
            <w:pPr>
              <w:pStyle w:val="Compact"/>
            </w:pPr>
            <w:r>
              <w:t xml:space="preserve">Manifest V3</w:t>
            </w:r>
          </w:p>
        </w:tc>
        <w:tc>
          <w:tcPr/>
          <w:p>
            <w:pPr>
              <w:pStyle w:val="Compact"/>
            </w:pPr>
            <w:r>
              <w:t xml:space="preserve">(installed via Chrome Web Store entry above)</w:t>
            </w:r>
          </w:p>
        </w:tc>
      </w:tr>
      <w:tr>
        <w:tc>
          <w:tcPr/>
          <w:p>
            <w:pPr>
              <w:pStyle w:val="Compact"/>
            </w:pPr>
            <w:r>
              <w:t xml:space="preserve">DuckDuckGo Browser</w:t>
            </w:r>
          </w:p>
        </w:tc>
        <w:tc>
          <w:tcPr/>
          <w:p>
            <w:pPr>
              <w:pStyle w:val="Compact"/>
            </w:pPr>
            <w:r>
              <w:t xml:space="preserve">Chrome Web Store (Chromium-based)</w:t>
            </w:r>
          </w:p>
        </w:tc>
        <w:tc>
          <w:tcPr/>
          <w:p>
            <w:pPr>
              <w:pStyle w:val="Compact"/>
            </w:pPr>
            <w:r>
              <w:t xml:space="preserve">Manifest V3</w:t>
            </w:r>
          </w:p>
        </w:tc>
        <w:tc>
          <w:tcPr/>
          <w:p>
            <w:pPr>
              <w:pStyle w:val="Compact"/>
            </w:pPr>
            <w:r>
              <w:t xml:space="preserve">(installed via Chrome Web Store entry above)</w:t>
            </w:r>
          </w:p>
        </w:tc>
      </w:tr>
      <w:tr>
        <w:tc>
          <w:tcPr/>
          <w:p>
            <w:pPr>
              <w:pStyle w:val="Compact"/>
            </w:pPr>
            <w:r>
              <w:t xml:space="preserve">The Browser Company Arc</w:t>
            </w:r>
          </w:p>
        </w:tc>
        <w:tc>
          <w:tcPr/>
          <w:p>
            <w:pPr>
              <w:pStyle w:val="Compact"/>
            </w:pPr>
            <w:r>
              <w:t xml:space="preserve">Chrome Web Store (Chromium-based)</w:t>
            </w:r>
          </w:p>
        </w:tc>
        <w:tc>
          <w:tcPr/>
          <w:p>
            <w:pPr>
              <w:pStyle w:val="Compact"/>
            </w:pPr>
            <w:r>
              <w:t xml:space="preserve">Manifest V3</w:t>
            </w:r>
          </w:p>
        </w:tc>
        <w:tc>
          <w:tcPr/>
          <w:p>
            <w:pPr>
              <w:pStyle w:val="Compact"/>
            </w:pPr>
            <w:r>
              <w:t xml:space="preserve">(installed via Chrome Web Store entry above)</w:t>
            </w:r>
          </w:p>
        </w:tc>
      </w:tr>
      <w:tr>
        <w:tc>
          <w:tcPr/>
          <w:p>
            <w:pPr>
              <w:pStyle w:val="Compact"/>
            </w:pPr>
            <w:r>
              <w:t xml:space="preserve">Apple Safari</w:t>
            </w:r>
          </w:p>
        </w:tc>
        <w:tc>
          <w:tcPr/>
          <w:p>
            <w:pPr>
              <w:pStyle w:val="Compact"/>
            </w:pPr>
            <w:r>
              <w:t xml:space="preserve">Apple App Store (Safari Web Extension)</w:t>
            </w:r>
          </w:p>
        </w:tc>
        <w:tc>
          <w:tcPr/>
          <w:p>
            <w:pPr>
              <w:pStyle w:val="Compact"/>
            </w:pPr>
            <w:r>
              <w:t xml:space="preserve">Safari Web Extension API</w:t>
            </w:r>
          </w:p>
        </w:tc>
        <w:tc>
          <w:tcPr/>
          <w:p>
            <w:pPr>
              <w:pStyle w:val="Compact"/>
            </w:pPr>
            <w:r>
              <w:t xml:space="preserve">(in submission)</w:t>
            </w:r>
          </w:p>
        </w:tc>
      </w:tr>
    </w:tbl>
    <w:bookmarkEnd w:id="187"/>
    <w:bookmarkStart w:id="188" w:name="architecture"/>
    <w:p>
      <w:pPr>
        <w:pStyle w:val="Heading3"/>
      </w:pPr>
      <w:r>
        <w:t xml:space="preserve">8.2.2 Architecture</w:t>
      </w:r>
    </w:p>
    <w:p>
      <w:pPr>
        <w:pStyle w:val="FirstParagraph"/>
      </w:pPr>
      <w:r>
        <w:t xml:space="preserve">The extension comprises a background service worker responsible for</w:t>
      </w:r>
      <w:r>
        <w:t xml:space="preserve"> </w:t>
      </w:r>
      <w:r>
        <w:t xml:space="preserve">managing the connection to the federation, a content script injected</w:t>
      </w:r>
      <w:r>
        <w:t xml:space="preserve"> </w:t>
      </w:r>
      <w:r>
        <w:t xml:space="preserve">into pages of the platforms registered in the platform registry, a popup</w:t>
      </w:r>
      <w:r>
        <w:t xml:space="preserve"> </w:t>
      </w:r>
      <w:r>
        <w:t xml:space="preserve">user interface invoked on user action, and an options page for</w:t>
      </w:r>
      <w:r>
        <w:t xml:space="preserve"> </w:t>
      </w:r>
      <w:r>
        <w:t xml:space="preserve">configuration. The extension’s content scripts apply CNA-2.2</w:t>
      </w:r>
      <w:r>
        <w:t xml:space="preserve"> </w:t>
      </w:r>
      <w:r>
        <w:t xml:space="preserve">normalization to content units within the page in the browser, surface</w:t>
      </w:r>
      <w:r>
        <w:t xml:space="preserve"> </w:t>
      </w:r>
      <w:r>
        <w:t xml:space="preserve">the user-actionable signing flow, and invoke the user’s WebAuthn</w:t>
      </w:r>
      <w:r>
        <w:t xml:space="preserve"> </w:t>
      </w:r>
      <w:r>
        <w:t xml:space="preserve">resident key authenticator through the Web Authentication API.</w:t>
      </w:r>
    </w:p>
    <w:bookmarkEnd w:id="188"/>
    <w:bookmarkStart w:id="189" w:name="publisher-mode-and-creator-mode"/>
    <w:p>
      <w:pPr>
        <w:pStyle w:val="Heading3"/>
      </w:pPr>
      <w:r>
        <w:t xml:space="preserve">8.2.3 Publisher Mode and Creator Mode</w:t>
      </w:r>
    </w:p>
    <w:p>
      <w:pPr>
        <w:pStyle w:val="FirstParagraph"/>
      </w:pPr>
      <w:r>
        <w:t xml:space="preserve">The extension supports both Publisher Mode and Creator Mode.</w:t>
      </w:r>
      <w:r>
        <w:t xml:space="preserve"> </w:t>
      </w:r>
      <w:r>
        <w:t xml:space="preserve">Publisher Mode operation requires the extension to be installed on the</w:t>
      </w:r>
      <w:r>
        <w:t xml:space="preserve"> </w:t>
      </w:r>
      <w:r>
        <w:t xml:space="preserve">publisher’s infrastructure and is appropriate to integrations in which</w:t>
      </w:r>
      <w:r>
        <w:t xml:space="preserve"> </w:t>
      </w:r>
      <w:r>
        <w:t xml:space="preserve">the publisher’s editorial system uses the browser as a deployment</w:t>
      </w:r>
      <w:r>
        <w:t xml:space="preserve"> </w:t>
      </w:r>
      <w:r>
        <w:t xml:space="preserve">surface. Creator Mode is the principal Mode for individual creators</w:t>
      </w:r>
      <w:r>
        <w:t xml:space="preserve"> </w:t>
      </w:r>
      <w:r>
        <w:t xml:space="preserve">using the extension on their personal browsers.</w:t>
      </w:r>
    </w:p>
    <w:bookmarkEnd w:id="189"/>
    <w:bookmarkStart w:id="190" w:name="privacy-posture"/>
    <w:p>
      <w:pPr>
        <w:pStyle w:val="Heading3"/>
      </w:pPr>
      <w:r>
        <w:t xml:space="preserve">8.2.4 Privacy posture</w:t>
      </w:r>
    </w:p>
    <w:p>
      <w:pPr>
        <w:pStyle w:val="FirstParagraph"/>
      </w:pPr>
      <w:r>
        <w:t xml:space="preserve">The extension does not transmit content unit text to any party other</w:t>
      </w:r>
      <w:r>
        <w:t xml:space="preserve"> </w:t>
      </w:r>
      <w:r>
        <w:t xml:space="preserve">than the user’s chosen Full Node, at the user’s explicit instruction.</w:t>
      </w:r>
      <w:r>
        <w:t xml:space="preserve"> </w:t>
      </w:r>
      <w:r>
        <w:t xml:space="preserve">The extension does not record telemetry of the user’s browsing, the</w:t>
      </w:r>
      <w:r>
        <w:t xml:space="preserve"> </w:t>
      </w:r>
      <w:r>
        <w:t xml:space="preserve">user’s content unit text, or the user’s identifying information. The</w:t>
      </w:r>
      <w:r>
        <w:t xml:space="preserve"> </w:t>
      </w:r>
      <w:r>
        <w:t xml:space="preserve">extension’s operational logs are retained locally and are not</w:t>
      </w:r>
      <w:r>
        <w:t xml:space="preserve"> </w:t>
      </w:r>
      <w:r>
        <w:t xml:space="preserve">transmitted. The extension’s privacy posture is reviewed annually as</w:t>
      </w:r>
      <w:r>
        <w:t xml:space="preserve"> </w:t>
      </w:r>
      <w:r>
        <w:t xml:space="preserve">part of the AI Trust Council’s transparency report.</w:t>
      </w:r>
    </w:p>
    <w:bookmarkEnd w:id="190"/>
    <w:bookmarkStart w:id="191" w:name="localization"/>
    <w:p>
      <w:pPr>
        <w:pStyle w:val="Heading3"/>
      </w:pPr>
      <w:r>
        <w:t xml:space="preserve">8.2.5 Localization</w:t>
      </w:r>
    </w:p>
    <w:p>
      <w:pPr>
        <w:pStyle w:val="FirstParagraph"/>
      </w:pPr>
      <w:r>
        <w:t xml:space="preserve">The extension is localized into the languages identified in the</w:t>
      </w:r>
      <w:r>
        <w:t xml:space="preserve"> </w:t>
      </w:r>
      <w:r>
        <w:t xml:space="preserve">canonical Specification’s locale message catalog. At the publication of</w:t>
      </w:r>
      <w:r>
        <w:t xml:space="preserve"> </w:t>
      </w:r>
      <w:r>
        <w:t xml:space="preserve">this whitepaper, the extension is localized into English, French,</w:t>
      </w:r>
      <w:r>
        <w:t xml:space="preserve"> </w:t>
      </w:r>
      <w:r>
        <w:t xml:space="preserve">German, Spanish, Portuguese, Italian, Dutch, Polish, Japanese, Korean,</w:t>
      </w:r>
      <w:r>
        <w:t xml:space="preserve"> </w:t>
      </w:r>
      <w:r>
        <w:t xml:space="preserve">Simplified Chinese, Traditional Chinese, Arabic, Hindi, and te reo</w:t>
      </w:r>
      <w:r>
        <w:t xml:space="preserve"> </w:t>
      </w:r>
      <w:r>
        <w:t xml:space="preserve">Maori. Additional locales are added through the AI Trust Council’s</w:t>
      </w:r>
      <w:r>
        <w:t xml:space="preserve"> </w:t>
      </w:r>
      <w:r>
        <w:t xml:space="preserve">localization workstream.</w:t>
      </w:r>
    </w:p>
    <w:bookmarkEnd w:id="191"/>
    <w:bookmarkEnd w:id="192"/>
    <w:bookmarkStart w:id="197" w:name="the-tip-badge-web-component"/>
    <w:p>
      <w:pPr>
        <w:pStyle w:val="Heading2"/>
      </w:pPr>
      <w:r>
        <w:t xml:space="preserve">8.3 The</w:t>
      </w:r>
      <w:r>
        <w:t xml:space="preserve"> </w:t>
      </w:r>
      <w:r>
        <w:rPr>
          <w:rStyle w:val="VerbatimChar"/>
        </w:rPr>
        <w:t xml:space="preserve">&lt;tip-badge&gt;</w:t>
      </w:r>
      <w:r>
        <w:t xml:space="preserve"> </w:t>
      </w:r>
      <w:r>
        <w:t xml:space="preserve">web component</w:t>
      </w:r>
    </w:p>
    <w:p>
      <w:pPr>
        <w:pStyle w:val="FirstParagraph"/>
      </w:pPr>
      <w:r>
        <w:t xml:space="preserve">The</w:t>
      </w:r>
      <w:r>
        <w:t xml:space="preserve"> </w:t>
      </w:r>
      <w:r>
        <w:rPr>
          <w:rStyle w:val="VerbatimChar"/>
        </w:rPr>
        <w:t xml:space="preserve">&lt;tip-badge&gt;</w:t>
      </w:r>
      <w:r>
        <w:t xml:space="preserve"> </w:t>
      </w:r>
      <w:r>
        <w:t xml:space="preserve">is a web component implementing</w:t>
      </w:r>
      <w:r>
        <w:t xml:space="preserve"> </w:t>
      </w:r>
      <w:r>
        <w:t xml:space="preserve">the reader-facing badge described in Part VI Section 6.7. The component</w:t>
      </w:r>
      <w:r>
        <w:t xml:space="preserve"> </w:t>
      </w:r>
      <w:r>
        <w:t xml:space="preserve">is the principal Publisher Mode integration for web publishers and</w:t>
      </w:r>
      <w:r>
        <w:t xml:space="preserve"> </w:t>
      </w:r>
      <w:r>
        <w:t xml:space="preserve">platforms.</w:t>
      </w:r>
    </w:p>
    <w:bookmarkStart w:id="193" w:name="specification"/>
    <w:p>
      <w:pPr>
        <w:pStyle w:val="Heading3"/>
      </w:pPr>
      <w:r>
        <w:t xml:space="preserve">8.3.1 Specification</w:t>
      </w:r>
    </w:p>
    <w:p>
      <w:pPr>
        <w:pStyle w:val="FirstParagraph"/>
      </w:pPr>
      <w:r>
        <w:t xml:space="preserve">The component is specified conformantly with the W3C Custom Elements</w:t>
      </w:r>
      <w:r>
        <w:t xml:space="preserve"> </w:t>
      </w:r>
      <w:r>
        <w:t xml:space="preserve">V1 specification and is a standard HTML element usable in any compliant</w:t>
      </w:r>
      <w:r>
        <w:t xml:space="preserve"> </w:t>
      </w:r>
      <w:r>
        <w:t xml:space="preserve">browser. The component is published as an importable JavaScript module,</w:t>
      </w:r>
      <w:r>
        <w:t xml:space="preserve"> </w:t>
      </w:r>
      <w:r>
        <w:t xml:space="preserve">as a single-file embedded build, and as a server-rendered HTML</w:t>
      </w:r>
      <w:r>
        <w:t xml:space="preserve"> </w:t>
      </w:r>
      <w:r>
        <w:t xml:space="preserve">representation for environments that do not execute JavaScript on the</w:t>
      </w:r>
      <w:r>
        <w:t xml:space="preserve"> </w:t>
      </w:r>
      <w:r>
        <w:t xml:space="preserve">reader’s device.</w:t>
      </w:r>
    </w:p>
    <w:bookmarkEnd w:id="193"/>
    <w:bookmarkStart w:id="194" w:name="use-by-publishers"/>
    <w:p>
      <w:pPr>
        <w:pStyle w:val="Heading3"/>
      </w:pPr>
      <w:r>
        <w:t xml:space="preserve">8.3.2 Use by publishers</w:t>
      </w:r>
    </w:p>
    <w:p>
      <w:pPr>
        <w:pStyle w:val="FirstParagraph"/>
      </w:pPr>
      <w:r>
        <w:t xml:space="preserve">A publisher integrates the</w:t>
      </w:r>
      <w:r>
        <w:t xml:space="preserve"> </w:t>
      </w:r>
      <w:r>
        <w:rPr>
          <w:rStyle w:val="VerbatimChar"/>
        </w:rPr>
        <w:t xml:space="preserve">&lt;tip-badge&gt;</w:t>
      </w:r>
      <w:r>
        <w:t xml:space="preserve"> </w:t>
      </w:r>
      <w:r>
        <w:t xml:space="preserve">by placing</w:t>
      </w:r>
      <w:r>
        <w:t xml:space="preserve"> </w:t>
      </w:r>
      <w:r>
        <w:t xml:space="preserve">the element alongside the content unit in the publisher’s templates and</w:t>
      </w:r>
      <w:r>
        <w:t xml:space="preserve"> </w:t>
      </w:r>
      <w:r>
        <w:t xml:space="preserve">supplying the content unit’s CTID, content identifier, and version</w:t>
      </w:r>
      <w:r>
        <w:t xml:space="preserve"> </w:t>
      </w:r>
      <w:r>
        <w:t xml:space="preserve">identifier as attributes. The component fetches the current Trust Score,</w:t>
      </w:r>
      <w:r>
        <w:t xml:space="preserve"> </w:t>
      </w:r>
      <w:r>
        <w:t xml:space="preserve">the active Blocking Items, and the version history from the federation</w:t>
      </w:r>
      <w:r>
        <w:t xml:space="preserve"> </w:t>
      </w:r>
      <w:r>
        <w:t xml:space="preserve">through the public read endpoints. The component renders the badge in</w:t>
      </w:r>
      <w:r>
        <w:t xml:space="preserve"> </w:t>
      </w:r>
      <w:r>
        <w:t xml:space="preserve">the display mode specified by the publisher.</w:t>
      </w:r>
    </w:p>
    <w:bookmarkEnd w:id="194"/>
    <w:bookmarkStart w:id="195" w:name="customization"/>
    <w:p>
      <w:pPr>
        <w:pStyle w:val="Heading3"/>
      </w:pPr>
      <w:r>
        <w:t xml:space="preserve">8.3.3 Customization</w:t>
      </w:r>
    </w:p>
    <w:p>
      <w:pPr>
        <w:pStyle w:val="FirstParagraph"/>
      </w:pPr>
      <w:r>
        <w:t xml:space="preserve">The component supports the customization of typographic and visual</w:t>
      </w:r>
      <w:r>
        <w:t xml:space="preserve"> </w:t>
      </w:r>
      <w:r>
        <w:t xml:space="preserve">attributes through CSS Custom Properties published in the component’s</w:t>
      </w:r>
      <w:r>
        <w:t xml:space="preserve"> </w:t>
      </w:r>
      <w:r>
        <w:t xml:space="preserve">specification. The component does not permit the customization of the</w:t>
      </w:r>
      <w:r>
        <w:t xml:space="preserve"> </w:t>
      </w:r>
      <w:r>
        <w:t xml:space="preserve">substantive content of the badge (the Trust Score tier, the Origin</w:t>
      </w:r>
      <w:r>
        <w:t xml:space="preserve"> </w:t>
      </w:r>
      <w:r>
        <w:t xml:space="preserve">Code, the Global Seal of Trust, the Blocking Item indicators), to</w:t>
      </w:r>
      <w:r>
        <w:t xml:space="preserve"> </w:t>
      </w:r>
      <w:r>
        <w:t xml:space="preserve">preserve the reader’s reliance on the consistency of the substantive</w:t>
      </w:r>
      <w:r>
        <w:t xml:space="preserve"> </w:t>
      </w:r>
      <w:r>
        <w:t xml:space="preserve">signal across publishers and platforms.</w:t>
      </w:r>
    </w:p>
    <w:bookmarkEnd w:id="195"/>
    <w:bookmarkStart w:id="196" w:name="accessibility-1"/>
    <w:p>
      <w:pPr>
        <w:pStyle w:val="Heading3"/>
      </w:pPr>
      <w:r>
        <w:t xml:space="preserve">8.3.4 Accessibility</w:t>
      </w:r>
    </w:p>
    <w:p>
      <w:pPr>
        <w:pStyle w:val="FirstParagraph"/>
      </w:pPr>
      <w:r>
        <w:t xml:space="preserve">The component implements full WCAG 2.2 Level AA accessibility,</w:t>
      </w:r>
      <w:r>
        <w:t xml:space="preserve"> </w:t>
      </w:r>
      <w:r>
        <w:t xml:space="preserve">including appropriate ARIA labels and roles, keyboard navigation, screen</w:t>
      </w:r>
      <w:r>
        <w:t xml:space="preserve"> </w:t>
      </w:r>
      <w:r>
        <w:t xml:space="preserve">reader operability, and conformant color contrast. The component</w:t>
      </w:r>
      <w:r>
        <w:t xml:space="preserve"> </w:t>
      </w:r>
      <w:r>
        <w:t xml:space="preserve">supports the user agent’s prefers-reduced-motion and</w:t>
      </w:r>
      <w:r>
        <w:t xml:space="preserve"> </w:t>
      </w:r>
      <w:r>
        <w:t xml:space="preserve">prefers-color-scheme settings.</w:t>
      </w:r>
    </w:p>
    <w:bookmarkEnd w:id="196"/>
    <w:bookmarkEnd w:id="197"/>
    <w:bookmarkStart w:id="201" w:name="wordpress-reference-plugin"/>
    <w:p>
      <w:pPr>
        <w:pStyle w:val="Heading2"/>
      </w:pPr>
      <w:r>
        <w:t xml:space="preserve">8.4 WordPress reference plugin</w:t>
      </w:r>
    </w:p>
    <w:p>
      <w:pPr>
        <w:pStyle w:val="FirstParagraph"/>
      </w:pPr>
      <w:r>
        <w:t xml:space="preserve">The WordPress reference plugin is the principal Publisher Mode</w:t>
      </w:r>
      <w:r>
        <w:t xml:space="preserve"> </w:t>
      </w:r>
      <w:r>
        <w:t xml:space="preserve">integration for publishers operating on the WordPress platform. The</w:t>
      </w:r>
      <w:r>
        <w:t xml:space="preserve"> </w:t>
      </w:r>
      <w:r>
        <w:t xml:space="preserve">plugin implements the Canonical Normalization Algorithm Version 1.0</w:t>
      </w:r>
      <w:r>
        <w:t xml:space="preserve"> </w:t>
      </w:r>
      <w:r>
        <w:t xml:space="preserve">(CNA-1.0), the Publisher Mode signing workflow integrated with the</w:t>
      </w:r>
      <w:r>
        <w:t xml:space="preserve"> </w:t>
      </w:r>
      <w:r>
        <w:t xml:space="preserve">WordPress editor, the CONTENT_UPDATED event flow integrated with the</w:t>
      </w:r>
      <w:r>
        <w:t xml:space="preserve"> </w:t>
      </w:r>
      <w:r>
        <w:t xml:space="preserve">WordPress revisions system, and the</w:t>
      </w:r>
      <w:r>
        <w:t xml:space="preserve"> </w:t>
      </w:r>
      <w:r>
        <w:rPr>
          <w:rStyle w:val="VerbatimChar"/>
        </w:rPr>
        <w:t xml:space="preserve">&lt;tip-badge&gt;</w:t>
      </w:r>
      <w:r>
        <w:t xml:space="preserve"> </w:t>
      </w:r>
      <w:r>
        <w:t xml:space="preserve">web</w:t>
      </w:r>
      <w:r>
        <w:t xml:space="preserve"> </w:t>
      </w:r>
      <w:r>
        <w:t xml:space="preserve">component embedded in the publisher’s theme.</w:t>
      </w:r>
    </w:p>
    <w:bookmarkStart w:id="198" w:name="cna-1.0"/>
    <w:p>
      <w:pPr>
        <w:pStyle w:val="Heading3"/>
      </w:pPr>
      <w:r>
        <w:t xml:space="preserve">8.4.1 CNA-1.0</w:t>
      </w:r>
    </w:p>
    <w:p>
      <w:pPr>
        <w:pStyle w:val="FirstParagraph"/>
      </w:pPr>
      <w:r>
        <w:t xml:space="preserve">CNA-1.0 is the canonical normalization variant applicable to</w:t>
      </w:r>
      <w:r>
        <w:t xml:space="preserve"> </w:t>
      </w:r>
      <w:r>
        <w:t xml:space="preserve">WordPress content. CNA-1.0 is a six-step procedure described in the</w:t>
      </w:r>
      <w:r>
        <w:t xml:space="preserve"> </w:t>
      </w:r>
      <w:r>
        <w:t xml:space="preserve">canonical Specification and operates on WordPress post objects</w:t>
      </w:r>
      <w:r>
        <w:t xml:space="preserve"> </w:t>
      </w:r>
      <w:r>
        <w:t xml:space="preserve">(including the post title, post content, post excerpt, post meta, and</w:t>
      </w:r>
      <w:r>
        <w:t xml:space="preserve"> </w:t>
      </w:r>
      <w:r>
        <w:t xml:space="preserve">post taxonomies). CNA-1.0 produces a content identifier compatible with</w:t>
      </w:r>
      <w:r>
        <w:t xml:space="preserve"> </w:t>
      </w:r>
      <w:r>
        <w:t xml:space="preserve">the three-hash addressing of Part III. The plugin supplies the CNA-1.0</w:t>
      </w:r>
      <w:r>
        <w:t xml:space="preserve"> </w:t>
      </w:r>
      <w:r>
        <w:t xml:space="preserve">reference implementation in PHP.</w:t>
      </w:r>
    </w:p>
    <w:bookmarkEnd w:id="198"/>
    <w:bookmarkStart w:id="199" w:name="plugin-architecture"/>
    <w:p>
      <w:pPr>
        <w:pStyle w:val="Heading3"/>
      </w:pPr>
      <w:r>
        <w:t xml:space="preserve">8.4.2 Plugin architecture</w:t>
      </w:r>
    </w:p>
    <w:p>
      <w:pPr>
        <w:pStyle w:val="FirstParagraph"/>
      </w:pPr>
      <w:r>
        <w:t xml:space="preserve">The plugin operates within the WordPress Plugin API. On a post being</w:t>
      </w:r>
      <w:r>
        <w:t xml:space="preserve"> </w:t>
      </w:r>
      <w:r>
        <w:t xml:space="preserve">published or updated, the plugin invokes the Publisher Mode signing</w:t>
      </w:r>
      <w:r>
        <w:t xml:space="preserve"> </w:t>
      </w:r>
      <w:r>
        <w:t xml:space="preserve">service (a remote service operated by the publisher’s chosen vendor or</w:t>
      </w:r>
      <w:r>
        <w:t xml:space="preserve"> </w:t>
      </w:r>
      <w:r>
        <w:t xml:space="preserve">an on-premise service operated by the publisher) and records the</w:t>
      </w:r>
      <w:r>
        <w:t xml:space="preserve"> </w:t>
      </w:r>
      <w:r>
        <w:t xml:space="preserve">resulting TIP-CONTENT record’s DAG location in WordPress post meta. The</w:t>
      </w:r>
      <w:r>
        <w:t xml:space="preserve"> </w:t>
      </w:r>
      <w:r>
        <w:t xml:space="preserve">plugin’s settings page exposes the configuration of the signing service</w:t>
      </w:r>
      <w:r>
        <w:t xml:space="preserve"> </w:t>
      </w:r>
      <w:r>
        <w:t xml:space="preserve">endpoint, the CTID and credential for the publisher, the Origin Code</w:t>
      </w:r>
      <w:r>
        <w:t xml:space="preserve"> </w:t>
      </w:r>
      <w:r>
        <w:t xml:space="preserve">defaulting policy, and the byline mapping between WordPress user</w:t>
      </w:r>
      <w:r>
        <w:t xml:space="preserve"> </w:t>
      </w:r>
      <w:r>
        <w:t xml:space="preserve">accounts and Creator Mode CTIDs of named natural authors.</w:t>
      </w:r>
    </w:p>
    <w:bookmarkEnd w:id="199"/>
    <w:bookmarkStart w:id="200" w:name="distribution"/>
    <w:p>
      <w:pPr>
        <w:pStyle w:val="Heading3"/>
      </w:pPr>
      <w:r>
        <w:t xml:space="preserve">8.4.3 Distribution</w:t>
      </w:r>
    </w:p>
    <w:p>
      <w:pPr>
        <w:pStyle w:val="FirstParagraph"/>
      </w:pPr>
      <w:r>
        <w:t xml:space="preserve">The plugin is published on the WordPress Plugin Directory at</w:t>
      </w:r>
      <w:r>
        <w:t xml:space="preserve"> </w:t>
      </w:r>
      <w:r>
        <w:t xml:space="preserve">wordpress.org/plugins/tip-protocol/ and distributed under TIPCL-1.0.</w:t>
      </w:r>
      <w:r>
        <w:t xml:space="preserve"> </w:t>
      </w:r>
      <w:r>
        <w:t xml:space="preserve">Publishers in the Free Tier under TIPCL-1.0 may install and use the</w:t>
      </w:r>
      <w:r>
        <w:t xml:space="preserve"> </w:t>
      </w:r>
      <w:r>
        <w:t xml:space="preserve">plugin without fee. Publishers in the Commercial Tier obtain the</w:t>
      </w:r>
      <w:r>
        <w:t xml:space="preserve"> </w:t>
      </w:r>
      <w:r>
        <w:t xml:space="preserve">plugin under the terms of their Commercial License. The plugin is</w:t>
      </w:r>
      <w:r>
        <w:t xml:space="preserve"> </w:t>
      </w:r>
      <w:r>
        <w:t xml:space="preserve">live and installable at the publication date of this whitepaper.</w:t>
      </w:r>
    </w:p>
    <w:bookmarkEnd w:id="200"/>
    <w:bookmarkEnd w:id="201"/>
    <w:bookmarkStart w:id="205" w:name="mobile-web-application"/>
    <w:p>
      <w:pPr>
        <w:pStyle w:val="Heading2"/>
      </w:pPr>
      <w:r>
        <w:t xml:space="preserve">8.5 Mobile web application</w:t>
      </w:r>
    </w:p>
    <w:p>
      <w:pPr>
        <w:pStyle w:val="FirstParagraph"/>
      </w:pPr>
      <w:r>
        <w:t xml:space="preserve">The mobile web application is a Progressive Web Application</w:t>
      </w:r>
      <w:r>
        <w:t xml:space="preserve"> </w:t>
      </w:r>
      <w:r>
        <w:t xml:space="preserve">conformant with the W3C Web App Manifest specification. The application</w:t>
      </w:r>
      <w:r>
        <w:t xml:space="preserve"> </w:t>
      </w:r>
      <w:r>
        <w:t xml:space="preserve">supplies a Creator Mode integration for users operating on mobile</w:t>
      </w:r>
      <w:r>
        <w:t xml:space="preserve"> </w:t>
      </w:r>
      <w:r>
        <w:t xml:space="preserve">devices.</w:t>
      </w:r>
    </w:p>
    <w:bookmarkStart w:id="202" w:name="architecture-1"/>
    <w:p>
      <w:pPr>
        <w:pStyle w:val="Heading3"/>
      </w:pPr>
      <w:r>
        <w:t xml:space="preserve">8.5.1 Architecture</w:t>
      </w:r>
    </w:p>
    <w:p>
      <w:pPr>
        <w:pStyle w:val="FirstParagraph"/>
      </w:pPr>
      <w:r>
        <w:t xml:space="preserve">The application operates as a client-side Progressive Web</w:t>
      </w:r>
      <w:r>
        <w:t xml:space="preserve"> </w:t>
      </w:r>
      <w:r>
        <w:t xml:space="preserve">Application, with a service worker for offline capability and for the</w:t>
      </w:r>
      <w:r>
        <w:t xml:space="preserve"> </w:t>
      </w:r>
      <w:r>
        <w:t xml:space="preserve">queueing of signing operations during periods of intermittent</w:t>
      </w:r>
      <w:r>
        <w:t xml:space="preserve"> </w:t>
      </w:r>
      <w:r>
        <w:t xml:space="preserve">connectivity. The application uses the device’s platform authenticator</w:t>
      </w:r>
      <w:r>
        <w:t xml:space="preserve"> </w:t>
      </w:r>
      <w:r>
        <w:t xml:space="preserve">(Touch ID, Face ID, the Android biometric authenticator, or analogous)</w:t>
      </w:r>
      <w:r>
        <w:t xml:space="preserve"> </w:t>
      </w:r>
      <w:r>
        <w:t xml:space="preserve">for user verification, through the Web Authentication API.</w:t>
      </w:r>
    </w:p>
    <w:bookmarkEnd w:id="202"/>
    <w:bookmarkStart w:id="203" w:name="installation"/>
    <w:p>
      <w:pPr>
        <w:pStyle w:val="Heading3"/>
      </w:pPr>
      <w:r>
        <w:t xml:space="preserve">8.5.2 Installation</w:t>
      </w:r>
    </w:p>
    <w:p>
      <w:pPr>
        <w:pStyle w:val="FirstParagraph"/>
      </w:pPr>
      <w:r>
        <w:t xml:space="preserve">The application is live and installable at</w:t>
      </w:r>
      <w:r>
        <w:t xml:space="preserve"> </w:t>
      </w:r>
      <w:r>
        <w:rPr>
          <w:b/>
          <w:bCs/>
        </w:rPr>
        <w:t xml:space="preserve">vp.theailab.org</w:t>
      </w:r>
      <w:r>
        <w:t xml:space="preserve"> </w:t>
      </w:r>
      <w:r>
        <w:t xml:space="preserve">(https://vp.theailab.org/). It runs on iOS, iPadOS, Android, and</w:t>
      </w:r>
      <w:r>
        <w:t xml:space="preserve"> </w:t>
      </w:r>
      <w:r>
        <w:t xml:space="preserve">analogous mobile operating systems through the device browser’s</w:t>
      </w:r>
      <w:r>
        <w:t xml:space="preserve"> </w:t>
      </w:r>
      <w:r>
        <w:t xml:space="preserve">installation flow. The application does not require distribution</w:t>
      </w:r>
      <w:r>
        <w:t xml:space="preserve"> </w:t>
      </w:r>
      <w:r>
        <w:t xml:space="preserve">through a mobile application store as a native application, which</w:t>
      </w:r>
      <w:r>
        <w:t xml:space="preserve"> </w:t>
      </w:r>
      <w:r>
        <w:t xml:space="preserve">avoids the dependence of the protocol on the policies of mobile</w:t>
      </w:r>
      <w:r>
        <w:t xml:space="preserve"> </w:t>
      </w:r>
      <w:r>
        <w:t xml:space="preserve">platform operators.</w:t>
      </w:r>
    </w:p>
    <w:bookmarkEnd w:id="203"/>
    <w:bookmarkStart w:id="204" w:name="functionality"/>
    <w:p>
      <w:pPr>
        <w:pStyle w:val="Heading3"/>
      </w:pPr>
      <w:r>
        <w:t xml:space="preserve">8.5.3 Functionality</w:t>
      </w:r>
    </w:p>
    <w:p>
      <w:pPr>
        <w:pStyle w:val="FirstParagraph"/>
      </w:pPr>
      <w:r>
        <w:t xml:space="preserve">The application supplies the principal Creator Mode operations: the</w:t>
      </w:r>
      <w:r>
        <w:t xml:space="preserve"> </w:t>
      </w:r>
      <w:r>
        <w:t xml:space="preserve">publication of TIP-CONTENT records for content composed within the</w:t>
      </w:r>
      <w:r>
        <w:t xml:space="preserve"> </w:t>
      </w:r>
      <w:r>
        <w:t xml:space="preserve">application; the publication of TIP-CONTENT records for content composed</w:t>
      </w:r>
      <w:r>
        <w:t xml:space="preserve"> </w:t>
      </w:r>
      <w:r>
        <w:t xml:space="preserve">outside the application and imported through the share extension; the</w:t>
      </w:r>
      <w:r>
        <w:t xml:space="preserve"> </w:t>
      </w:r>
      <w:r>
        <w:t xml:space="preserve">publication of CONTENT_UPDATED events; the retrieval of the user’s</w:t>
      </w:r>
      <w:r>
        <w:t xml:space="preserve"> </w:t>
      </w:r>
      <w:r>
        <w:t xml:space="preserve">current Trust Score and active Blocking Items; the filing of disputes;</w:t>
      </w:r>
      <w:r>
        <w:t xml:space="preserve"> </w:t>
      </w:r>
      <w:r>
        <w:t xml:space="preserve">and the management of the user’s CTIDs.</w:t>
      </w:r>
    </w:p>
    <w:bookmarkEnd w:id="204"/>
    <w:bookmarkEnd w:id="205"/>
    <w:bookmarkStart w:id="209" w:name="software-development-kits"/>
    <w:p>
      <w:pPr>
        <w:pStyle w:val="Heading2"/>
      </w:pPr>
      <w:r>
        <w:t xml:space="preserve">8.6 Software development kits</w:t>
      </w:r>
    </w:p>
    <w:p>
      <w:pPr>
        <w:pStyle w:val="FirstParagraph"/>
      </w:pPr>
      <w:r>
        <w:t xml:space="preserve">The AI Lab publishes software development kits for the integration of</w:t>
      </w:r>
      <w:r>
        <w:t xml:space="preserve"> </w:t>
      </w:r>
      <w:r>
        <w:t xml:space="preserve">the Trust Identity Protocol into commonly deployed application stacks.</w:t>
      </w:r>
      <w:r>
        <w:t xml:space="preserve"> </w:t>
      </w:r>
      <w:r>
        <w:t xml:space="preserve">The publication schedule of the software development kits is set out in</w:t>
      </w:r>
      <w:r>
        <w:t xml:space="preserve"> </w:t>
      </w:r>
      <w:r>
        <w:t xml:space="preserve">Part XI.</w:t>
      </w:r>
    </w:p>
    <w:bookmarkStart w:id="206" w:name="published-kits"/>
    <w:p>
      <w:pPr>
        <w:pStyle w:val="Heading3"/>
      </w:pPr>
      <w:r>
        <w:t xml:space="preserve">8.6.1 Published kits</w:t>
      </w:r>
    </w:p>
    <w:tbl>
      <w:tblPr>
        <w:tblStyle w:val="Table"/>
        <w:tblW w:type="pct" w:w="5000"/>
        <w:tblLayout w:type="fixed"/>
        <w:tblLook w:firstRow="1" w:lastRow="0" w:firstColumn="0" w:lastColumn="0" w:noHBand="0" w:noVBand="0" w:val="0020"/>
      </w:tblPr>
      <w:tblGrid>
        <w:gridCol w:w="3357"/>
        <w:gridCol w:w="2582"/>
        <w:gridCol w:w="1980"/>
      </w:tblGrid>
      <w:tr>
        <w:trPr>
          <w:tblHeader w:val="on"/>
        </w:trPr>
        <w:tc>
          <w:tcPr/>
          <w:p>
            <w:pPr>
              <w:pStyle w:val="Compact"/>
            </w:pPr>
            <w:r>
              <w:t xml:space="preserve">Kit</w:t>
            </w:r>
          </w:p>
        </w:tc>
        <w:tc>
          <w:tcPr/>
          <w:p>
            <w:pPr>
              <w:pStyle w:val="Compact"/>
            </w:pPr>
            <w:r>
              <w:t xml:space="preserve">Target</w:t>
            </w:r>
          </w:p>
        </w:tc>
        <w:tc>
          <w:tcPr/>
          <w:p>
            <w:pPr>
              <w:pStyle w:val="Compact"/>
            </w:pPr>
            <w:r>
              <w:t xml:space="preserve">Status</w:t>
            </w:r>
          </w:p>
        </w:tc>
      </w:tr>
      <w:tr>
        <w:tc>
          <w:tcPr/>
          <w:p>
            <w:pPr>
              <w:pStyle w:val="Compact"/>
            </w:pPr>
            <w:r>
              <w:t xml:space="preserve">TIP SDK for JavaScript and TypeScript</w:t>
            </w:r>
          </w:p>
        </w:tc>
        <w:tc>
          <w:tcPr/>
          <w:p>
            <w:pPr>
              <w:pStyle w:val="Compact"/>
            </w:pPr>
            <w:r>
              <w:t xml:space="preserve">Node.js, Deno, Bun, browsers</w:t>
            </w:r>
          </w:p>
        </w:tc>
        <w:tc>
          <w:tcPr/>
          <w:p>
            <w:pPr>
              <w:pStyle w:val="Compact"/>
            </w:pPr>
            <w:r>
              <w:t xml:space="preserve">Published v2.0</w:t>
            </w:r>
          </w:p>
        </w:tc>
      </w:tr>
      <w:tr>
        <w:tc>
          <w:tcPr/>
          <w:p>
            <w:pPr>
              <w:pStyle w:val="Compact"/>
            </w:pPr>
            <w:r>
              <w:t xml:space="preserve">TIP SDK for Python</w:t>
            </w:r>
          </w:p>
        </w:tc>
        <w:tc>
          <w:tcPr/>
          <w:p>
            <w:pPr>
              <w:pStyle w:val="Compact"/>
            </w:pPr>
            <w:r>
              <w:t xml:space="preserve">CPython 3.10 and above</w:t>
            </w:r>
          </w:p>
        </w:tc>
        <w:tc>
          <w:tcPr/>
          <w:p>
            <w:pPr>
              <w:pStyle w:val="Compact"/>
            </w:pPr>
            <w:r>
              <w:t xml:space="preserve">Published v2.0</w:t>
            </w:r>
          </w:p>
        </w:tc>
      </w:tr>
    </w:tbl>
    <w:bookmarkEnd w:id="206"/>
    <w:bookmarkStart w:id="207" w:name="planned-kits"/>
    <w:p>
      <w:pPr>
        <w:pStyle w:val="Heading3"/>
      </w:pPr>
      <w:r>
        <w:t xml:space="preserve">8.6.2 Planned kits</w:t>
      </w:r>
    </w:p>
    <w:p>
      <w:pPr>
        <w:pStyle w:val="FirstParagraph"/>
      </w:pPr>
      <w:r>
        <w:t xml:space="preserve">All remaining language kits are scheduled for publication by the</w:t>
      </w:r>
      <w:r>
        <w:t xml:space="preserve"> </w:t>
      </w:r>
      <w:r>
        <w:t xml:space="preserve">end of calendar year 2026:</w:t>
      </w:r>
    </w:p>
    <w:tbl>
      <w:tblPr>
        <w:tblStyle w:val="Table"/>
        <w:tblW w:type="pct" w:w="5000"/>
        <w:tblLayout w:type="fixed"/>
        <w:tblLook w:firstRow="1" w:lastRow="0" w:firstColumn="0" w:lastColumn="0" w:noHBand="0" w:noVBand="0" w:val="0020"/>
      </w:tblPr>
      <w:tblGrid>
        <w:gridCol w:w="2295"/>
        <w:gridCol w:w="3213"/>
        <w:gridCol w:w="2410"/>
      </w:tblGrid>
      <w:tr>
        <w:trPr>
          <w:tblHeader w:val="on"/>
        </w:trPr>
        <w:tc>
          <w:tcPr/>
          <w:p>
            <w:pPr>
              <w:pStyle w:val="Compact"/>
            </w:pPr>
            <w:r>
              <w:t xml:space="preserve">Kit</w:t>
            </w:r>
          </w:p>
        </w:tc>
        <w:tc>
          <w:tcPr/>
          <w:p>
            <w:pPr>
              <w:pStyle w:val="Compact"/>
            </w:pPr>
            <w:r>
              <w:t xml:space="preserve">Target</w:t>
            </w:r>
          </w:p>
        </w:tc>
        <w:tc>
          <w:tcPr/>
          <w:p>
            <w:pPr>
              <w:pStyle w:val="Compact"/>
            </w:pPr>
            <w:r>
              <w:t xml:space="preserve">Planned publication</w:t>
            </w:r>
          </w:p>
        </w:tc>
      </w:tr>
      <w:tr>
        <w:tc>
          <w:tcPr/>
          <w:p>
            <w:pPr>
              <w:pStyle w:val="Compact"/>
            </w:pPr>
            <w:r>
              <w:t xml:space="preserve">TIP SDK for Rust</w:t>
            </w:r>
          </w:p>
        </w:tc>
        <w:tc>
          <w:tcPr/>
          <w:p>
            <w:pPr>
              <w:pStyle w:val="Compact"/>
            </w:pPr>
            <w:r>
              <w:t xml:space="preserve">Stable Rust 1.85 and above</w:t>
            </w:r>
          </w:p>
        </w:tc>
        <w:tc>
          <w:tcPr/>
          <w:p>
            <w:pPr>
              <w:pStyle w:val="Compact"/>
            </w:pPr>
            <w:r>
              <w:t xml:space="preserve">Q3 2026</w:t>
            </w:r>
          </w:p>
        </w:tc>
      </w:tr>
      <w:tr>
        <w:tc>
          <w:tcPr/>
          <w:p>
            <w:pPr>
              <w:pStyle w:val="Compact"/>
            </w:pPr>
            <w:r>
              <w:t xml:space="preserve">TIP SDK for Go</w:t>
            </w:r>
          </w:p>
        </w:tc>
        <w:tc>
          <w:tcPr/>
          <w:p>
            <w:pPr>
              <w:pStyle w:val="Compact"/>
            </w:pPr>
            <w:r>
              <w:t xml:space="preserve">Go 1.23 and above</w:t>
            </w:r>
          </w:p>
        </w:tc>
        <w:tc>
          <w:tcPr/>
          <w:p>
            <w:pPr>
              <w:pStyle w:val="Compact"/>
            </w:pPr>
            <w:r>
              <w:t xml:space="preserve">Q3 2026</w:t>
            </w:r>
          </w:p>
        </w:tc>
      </w:tr>
      <w:tr>
        <w:tc>
          <w:tcPr/>
          <w:p>
            <w:pPr>
              <w:pStyle w:val="Compact"/>
            </w:pPr>
            <w:r>
              <w:t xml:space="preserve">TIP SDK for Java</w:t>
            </w:r>
          </w:p>
        </w:tc>
        <w:tc>
          <w:tcPr/>
          <w:p>
            <w:pPr>
              <w:pStyle w:val="Compact"/>
            </w:pPr>
            <w:r>
              <w:t xml:space="preserve">Java 21 LTS and above</w:t>
            </w:r>
          </w:p>
        </w:tc>
        <w:tc>
          <w:tcPr/>
          <w:p>
            <w:pPr>
              <w:pStyle w:val="Compact"/>
            </w:pPr>
            <w:r>
              <w:t xml:space="preserve">Q4 2026</w:t>
            </w:r>
          </w:p>
        </w:tc>
      </w:tr>
      <w:tr>
        <w:tc>
          <w:tcPr/>
          <w:p>
            <w:pPr>
              <w:pStyle w:val="Compact"/>
            </w:pPr>
            <w:r>
              <w:t xml:space="preserve">TIP SDK for .NET</w:t>
            </w:r>
          </w:p>
        </w:tc>
        <w:tc>
          <w:tcPr/>
          <w:p>
            <w:pPr>
              <w:pStyle w:val="Compact"/>
            </w:pPr>
            <w:r>
              <w:t xml:space="preserve">.NET 9.0 and above</w:t>
            </w:r>
          </w:p>
        </w:tc>
        <w:tc>
          <w:tcPr/>
          <w:p>
            <w:pPr>
              <w:pStyle w:val="Compact"/>
            </w:pPr>
            <w:r>
              <w:t xml:space="preserve">Q4 2026</w:t>
            </w:r>
          </w:p>
        </w:tc>
      </w:tr>
      <w:tr>
        <w:tc>
          <w:tcPr/>
          <w:p>
            <w:pPr>
              <w:pStyle w:val="Compact"/>
            </w:pPr>
            <w:r>
              <w:t xml:space="preserve">TIP SDK for Swift</w:t>
            </w:r>
          </w:p>
        </w:tc>
        <w:tc>
          <w:tcPr/>
          <w:p>
            <w:pPr>
              <w:pStyle w:val="Compact"/>
            </w:pPr>
            <w:r>
              <w:t xml:space="preserve">Swift 6 and above</w:t>
            </w:r>
          </w:p>
        </w:tc>
        <w:tc>
          <w:tcPr/>
          <w:p>
            <w:pPr>
              <w:pStyle w:val="Compact"/>
            </w:pPr>
            <w:r>
              <w:t xml:space="preserve">Q4 2026</w:t>
            </w:r>
          </w:p>
        </w:tc>
      </w:tr>
      <w:tr>
        <w:tc>
          <w:tcPr/>
          <w:p>
            <w:pPr>
              <w:pStyle w:val="Compact"/>
            </w:pPr>
            <w:r>
              <w:t xml:space="preserve">TIP SDK for Kotlin</w:t>
            </w:r>
          </w:p>
        </w:tc>
        <w:tc>
          <w:tcPr/>
          <w:p>
            <w:pPr>
              <w:pStyle w:val="Compact"/>
            </w:pPr>
            <w:r>
              <w:t xml:space="preserve">Kotlin 2 and above</w:t>
            </w:r>
          </w:p>
        </w:tc>
        <w:tc>
          <w:tcPr/>
          <w:p>
            <w:pPr>
              <w:pStyle w:val="Compact"/>
            </w:pPr>
            <w:r>
              <w:t xml:space="preserve">Q4 2026</w:t>
            </w:r>
          </w:p>
        </w:tc>
      </w:tr>
      <w:tr>
        <w:tc>
          <w:tcPr/>
          <w:p>
            <w:pPr>
              <w:pStyle w:val="Compact"/>
            </w:pPr>
            <w:r>
              <w:t xml:space="preserve">TIP SDK for PHP</w:t>
            </w:r>
          </w:p>
        </w:tc>
        <w:tc>
          <w:tcPr/>
          <w:p>
            <w:pPr>
              <w:pStyle w:val="Compact"/>
            </w:pPr>
            <w:r>
              <w:t xml:space="preserve">PHP 8.3 and above</w:t>
            </w:r>
          </w:p>
        </w:tc>
        <w:tc>
          <w:tcPr/>
          <w:p>
            <w:pPr>
              <w:pStyle w:val="Compact"/>
            </w:pPr>
            <w:r>
              <w:t xml:space="preserve">Q4 2026</w:t>
            </w:r>
          </w:p>
        </w:tc>
      </w:tr>
      <w:tr>
        <w:tc>
          <w:tcPr/>
          <w:p>
            <w:pPr>
              <w:pStyle w:val="Compact"/>
            </w:pPr>
            <w:r>
              <w:t xml:space="preserve">TIP SDK for Ruby</w:t>
            </w:r>
          </w:p>
        </w:tc>
        <w:tc>
          <w:tcPr/>
          <w:p>
            <w:pPr>
              <w:pStyle w:val="Compact"/>
            </w:pPr>
            <w:r>
              <w:t xml:space="preserve">Ruby 3.3 and above</w:t>
            </w:r>
          </w:p>
        </w:tc>
        <w:tc>
          <w:tcPr/>
          <w:p>
            <w:pPr>
              <w:pStyle w:val="Compact"/>
            </w:pPr>
            <w:r>
              <w:t xml:space="preserve">Q4 2026</w:t>
            </w:r>
          </w:p>
        </w:tc>
      </w:tr>
    </w:tbl>
    <w:bookmarkEnd w:id="207"/>
    <w:bookmarkStart w:id="208" w:name="conformance"/>
    <w:p>
      <w:pPr>
        <w:pStyle w:val="Heading3"/>
      </w:pPr>
      <w:r>
        <w:t xml:space="preserve">8.6.3 Conformance</w:t>
      </w:r>
    </w:p>
    <w:p>
      <w:pPr>
        <w:pStyle w:val="FirstParagraph"/>
      </w:pPr>
      <w:r>
        <w:t xml:space="preserve">Software development kits published by The AI Lab are required by</w:t>
      </w:r>
      <w:r>
        <w:t xml:space="preserve"> </w:t>
      </w:r>
      <w:r>
        <w:t xml:space="preserve">their license terms to pass the conformance test vector suite for the</w:t>
      </w:r>
      <w:r>
        <w:t xml:space="preserve"> </w:t>
      </w:r>
      <w:r>
        <w:t xml:space="preserve">protocol. Software development kits developed by third parties may,</w:t>
      </w:r>
      <w:r>
        <w:t xml:space="preserve"> </w:t>
      </w:r>
      <w:r>
        <w:t xml:space="preserve">voluntarily and on submission to the AI Trust Council, obtain inclusion</w:t>
      </w:r>
      <w:r>
        <w:t xml:space="preserve"> </w:t>
      </w:r>
      <w:r>
        <w:t xml:space="preserve">in the Conformance Registry described in Part III Section 3.8.</w:t>
      </w:r>
    </w:p>
    <w:bookmarkEnd w:id="208"/>
    <w:bookmarkEnd w:id="209"/>
    <w:bookmarkStart w:id="213" w:name="distribution-and-update-channels"/>
    <w:p>
      <w:pPr>
        <w:pStyle w:val="Heading2"/>
      </w:pPr>
      <w:r>
        <w:t xml:space="preserve">8.7 Distribution and update channels</w:t>
      </w:r>
    </w:p>
    <w:bookmarkStart w:id="210" w:name="browser-extension-distribution"/>
    <w:p>
      <w:pPr>
        <w:pStyle w:val="Heading3"/>
      </w:pPr>
      <w:r>
        <w:t xml:space="preserve">8.7.1 Browser extension distribution</w:t>
      </w:r>
    </w:p>
    <w:p>
      <w:pPr>
        <w:pStyle w:val="FirstParagraph"/>
      </w:pPr>
      <w:r>
        <w:t xml:space="preserve">The browser extension is distributed exclusively through the official</w:t>
      </w:r>
      <w:r>
        <w:t xml:space="preserve"> </w:t>
      </w:r>
      <w:r>
        <w:t xml:space="preserve">distribution channels of each browser (the Chrome Web Store, Mozilla</w:t>
      </w:r>
      <w:r>
        <w:t xml:space="preserve"> </w:t>
      </w:r>
      <w:r>
        <w:t xml:space="preserve">Add-ons, the Apple App Store, and analogous). The distribution channel</w:t>
      </w:r>
      <w:r>
        <w:t xml:space="preserve"> </w:t>
      </w:r>
      <w:r>
        <w:t xml:space="preserve">is identified in the publisher metadata of the extension package and is</w:t>
      </w:r>
      <w:r>
        <w:t xml:space="preserve"> </w:t>
      </w:r>
      <w:r>
        <w:t xml:space="preserve">verifiable by readers. Distribution through unofficial channels is not</w:t>
      </w:r>
      <w:r>
        <w:t xml:space="preserve"> </w:t>
      </w:r>
      <w:r>
        <w:t xml:space="preserve">authorized.</w:t>
      </w:r>
    </w:p>
    <w:bookmarkEnd w:id="210"/>
    <w:bookmarkStart w:id="211" w:name="update-cadence"/>
    <w:p>
      <w:pPr>
        <w:pStyle w:val="Heading3"/>
      </w:pPr>
      <w:r>
        <w:t xml:space="preserve">8.7.2 Update cadence</w:t>
      </w:r>
    </w:p>
    <w:p>
      <w:pPr>
        <w:pStyle w:val="FirstParagraph"/>
      </w:pPr>
      <w:r>
        <w:t xml:space="preserve">The browser extension, the</w:t>
      </w:r>
      <w:r>
        <w:t xml:space="preserve"> </w:t>
      </w:r>
      <w:r>
        <w:rPr>
          <w:rStyle w:val="VerbatimChar"/>
        </w:rPr>
        <w:t xml:space="preserve">&lt;tip-badge&gt;</w:t>
      </w:r>
      <w:r>
        <w:t xml:space="preserve"> </w:t>
      </w:r>
      <w:r>
        <w:t xml:space="preserve">component,</w:t>
      </w:r>
      <w:r>
        <w:t xml:space="preserve"> </w:t>
      </w:r>
      <w:r>
        <w:t xml:space="preserve">the WordPress plugin, the mobile web application, and the software</w:t>
      </w:r>
      <w:r>
        <w:t xml:space="preserve"> </w:t>
      </w:r>
      <w:r>
        <w:t xml:space="preserve">development kits follow a published update cadence. Substantive updates</w:t>
      </w:r>
      <w:r>
        <w:t xml:space="preserve"> </w:t>
      </w:r>
      <w:r>
        <w:t xml:space="preserve">require ratification by the AI Trust Council under the supermajority</w:t>
      </w:r>
      <w:r>
        <w:t xml:space="preserve"> </w:t>
      </w:r>
      <w:r>
        <w:t xml:space="preserve">threshold of the Charter, except for security updates which may be</w:t>
      </w:r>
      <w:r>
        <w:t xml:space="preserve"> </w:t>
      </w:r>
      <w:r>
        <w:t xml:space="preserve">released by The AI Lab on an emergency basis with prompt Council</w:t>
      </w:r>
      <w:r>
        <w:t xml:space="preserve"> </w:t>
      </w:r>
      <w:r>
        <w:t xml:space="preserve">notification.</w:t>
      </w:r>
    </w:p>
    <w:bookmarkEnd w:id="211"/>
    <w:bookmarkStart w:id="212" w:name="software-bill-of-materials"/>
    <w:p>
      <w:pPr>
        <w:pStyle w:val="Heading3"/>
      </w:pPr>
      <w:r>
        <w:t xml:space="preserve">8.7.3 Software bill of materials</w:t>
      </w:r>
    </w:p>
    <w:p>
      <w:pPr>
        <w:pStyle w:val="FirstParagraph"/>
      </w:pPr>
      <w:r>
        <w:t xml:space="preserve">Each published implementation supplies a Software Bill of Materials</w:t>
      </w:r>
      <w:r>
        <w:t xml:space="preserve"> </w:t>
      </w:r>
      <w:r>
        <w:t xml:space="preserve">conformant with the United States Cybersecurity and Infrastructure</w:t>
      </w:r>
      <w:r>
        <w:t xml:space="preserve"> </w:t>
      </w:r>
      <w:r>
        <w:t xml:space="preserve">Security Agency guidance and with the Cyber Resilience Act requirements</w:t>
      </w:r>
      <w:r>
        <w:t xml:space="preserve"> </w:t>
      </w:r>
      <w:r>
        <w:t xml:space="preserve">identified in Part IX. The Software Bill of Materials identifies each</w:t>
      </w:r>
      <w:r>
        <w:t xml:space="preserve"> </w:t>
      </w:r>
      <w:r>
        <w:t xml:space="preserve">open source component, its version, its license, and its known security</w:t>
      </w:r>
      <w:r>
        <w:t xml:space="preserve"> </w:t>
      </w:r>
      <w:r>
        <w:t xml:space="preserve">advisories.</w:t>
      </w:r>
    </w:p>
    <w:p>
      <w:r>
        <w:pict>
          <v:rect style="width:0;height:1.5pt" o:hralign="center" o:hrstd="t" o:hr="t"/>
        </w:pict>
      </w:r>
    </w:p>
    <w:p>
      <w:pPr>
        <w:pStyle w:val="FirstParagraph"/>
      </w:pPr>
      <w:r>
        <w:rPr>
          <w:b/>
          <w:bCs/>
        </w:rPr>
        <w:t xml:space="preserve">Contact The AI Lab regarding Part VIII</w:t>
      </w:r>
    </w:p>
    <w:p>
      <w:pPr>
        <w:pStyle w:val="BodyText"/>
      </w:pPr>
      <w:r>
        <w:t xml:space="preserve">Technical Inquiries:</w:t>
      </w:r>
      <w:r>
        <w:t xml:space="preserve"> </w:t>
      </w:r>
      <w:r>
        <w:rPr>
          <w:rStyle w:val="VerbatimChar"/>
        </w:rPr>
        <w:t xml:space="preserve">tip@theailab.org</w:t>
      </w:r>
      <w:r>
        <w:t xml:space="preserve"> </w:t>
      </w:r>
      <w:r>
        <w:t xml:space="preserve">Integration</w:t>
      </w:r>
      <w:r>
        <w:t xml:space="preserve"> </w:t>
      </w:r>
      <w:r>
        <w:t xml:space="preserve">Support:</w:t>
      </w:r>
      <w:r>
        <w:t xml:space="preserve"> </w:t>
      </w:r>
      <w:r>
        <w:rPr>
          <w:rStyle w:val="VerbatimChar"/>
        </w:rPr>
        <w:t xml:space="preserve">integrations@theailab.org</w:t>
      </w:r>
      <w:r>
        <w:t xml:space="preserve"> </w:t>
      </w:r>
      <w:r>
        <w:t xml:space="preserve">Security Reports:</w:t>
      </w:r>
      <w:r>
        <w:t xml:space="preserve"> </w:t>
      </w:r>
      <w:r>
        <w:rPr>
          <w:rStyle w:val="VerbatimChar"/>
        </w:rPr>
        <w:t xml:space="preserve">security@theailab.org</w:t>
      </w:r>
    </w:p>
    <w:p>
      <w:pPr>
        <w:pStyle w:val="BodyText"/>
      </w:pPr>
      <w:r>
        <w:t xml:space="preserve">The AI Lab Intelligence Unobscured, Inc. Wilmington, Delaware, United</w:t>
      </w:r>
      <w:r>
        <w:t xml:space="preserve"> </w:t>
      </w:r>
      <w:r>
        <w:t xml:space="preserve">States.</w:t>
      </w:r>
    </w:p>
    <w:bookmarkEnd w:id="212"/>
    <w:bookmarkEnd w:id="213"/>
    <w:bookmarkEnd w:id="214"/>
    <w:bookmarkStart w:id="237" w:name="part-ix-regulatory-alignment"/>
    <w:p>
      <w:pPr>
        <w:pStyle w:val="Heading1"/>
      </w:pPr>
      <w:r>
        <w:t xml:space="preserve">Part IX: Regulatory Alignment</w:t>
      </w:r>
    </w:p>
    <w:p>
      <w:pPr>
        <w:pStyle w:val="FirstParagraph"/>
      </w:pPr>
      <w:r>
        <w:t xml:space="preserve">This Part identifies the principal statutes, regulations, and</w:t>
      </w:r>
      <w:r>
        <w:t xml:space="preserve"> </w:t>
      </w:r>
      <w:r>
        <w:t xml:space="preserve">international instruments within whose regulatory landscape the Trust</w:t>
      </w:r>
      <w:r>
        <w:t xml:space="preserve"> </w:t>
      </w:r>
      <w:r>
        <w:t xml:space="preserve">Identity Protocol is designed to operate, and describes the technical</w:t>
      </w:r>
      <w:r>
        <w:t xml:space="preserve"> </w:t>
      </w:r>
      <w:r>
        <w:t xml:space="preserve">and institutional features of the protocol that support compliance with</w:t>
      </w:r>
      <w:r>
        <w:t xml:space="preserve"> </w:t>
      </w:r>
      <w:r>
        <w:t xml:space="preserve">those instruments by the parties to whom they apply. Statements in this</w:t>
      </w:r>
      <w:r>
        <w:t xml:space="preserve"> </w:t>
      </w:r>
      <w:r>
        <w:t xml:space="preserve">Part are statements of design intent and of the technical controls</w:t>
      </w:r>
      <w:r>
        <w:t xml:space="preserve"> </w:t>
      </w:r>
      <w:r>
        <w:t xml:space="preserve">implemented in the canonical specification. Such statements are not</w:t>
      </w:r>
      <w:r>
        <w:t xml:space="preserve"> </w:t>
      </w:r>
      <w:r>
        <w:t xml:space="preserve">certifications of compliance, opinions of counsel, or attestations by a</w:t>
      </w:r>
      <w:r>
        <w:t xml:space="preserve"> </w:t>
      </w:r>
      <w:r>
        <w:t xml:space="preserve">regulator or supervisory authority. A licensee is responsible for</w:t>
      </w:r>
      <w:r>
        <w:t xml:space="preserve"> </w:t>
      </w:r>
      <w:r>
        <w:t xml:space="preserve">assessing the application of any instrument referenced in this Part to</w:t>
      </w:r>
      <w:r>
        <w:t xml:space="preserve"> </w:t>
      </w:r>
      <w:r>
        <w:t xml:space="preserve">the licensee’s particular use of the protocol and for obtaining</w:t>
      </w:r>
      <w:r>
        <w:t xml:space="preserve"> </w:t>
      </w:r>
      <w:r>
        <w:t xml:space="preserve">qualified legal advice. The provisions of Appendix J apply to this</w:t>
      </w:r>
      <w:r>
        <w:t xml:space="preserve"> </w:t>
      </w:r>
      <w:r>
        <w:t xml:space="preserve">Part.</w:t>
      </w:r>
    </w:p>
    <w:bookmarkStart w:id="222" w:name="european-union"/>
    <w:p>
      <w:pPr>
        <w:pStyle w:val="Heading2"/>
      </w:pPr>
      <w:r>
        <w:t xml:space="preserve">9.1 European Union</w:t>
      </w:r>
    </w:p>
    <w:bookmarkStart w:id="215" w:name="X6991b960986462b896e1fa422d31e57241f948c"/>
    <w:p>
      <w:pPr>
        <w:pStyle w:val="Heading3"/>
      </w:pPr>
      <w:r>
        <w:t xml:space="preserve">9.1.1 Artificial Intelligence Act, Regulation (EU) 2024/1689</w:t>
      </w:r>
    </w:p>
    <w:p>
      <w:pPr>
        <w:pStyle w:val="FirstParagraph"/>
      </w:pPr>
      <w:r>
        <w:t xml:space="preserve">Regulation (EU) 2024/1689 of the European Parliament and of the</w:t>
      </w:r>
      <w:r>
        <w:t xml:space="preserve"> </w:t>
      </w:r>
      <w:r>
        <w:t xml:space="preserve">Council of 13 June 2024 laying down harmonised rules on artificial</w:t>
      </w:r>
      <w:r>
        <w:t xml:space="preserve"> </w:t>
      </w:r>
      <w:r>
        <w:t xml:space="preserve">intelligence (the “AI Act”) entered into force on 1 August 2024. The Act</w:t>
      </w:r>
      <w:r>
        <w:t xml:space="preserve"> </w:t>
      </w:r>
      <w:r>
        <w:t xml:space="preserve">applies in phases: the prohibited practices in Article 5 and the AI</w:t>
      </w:r>
      <w:r>
        <w:t xml:space="preserve"> </w:t>
      </w:r>
      <w:r>
        <w:t xml:space="preserve">literacy obligations in Article 4 apply from 2 February 2025; the</w:t>
      </w:r>
      <w:r>
        <w:t xml:space="preserve"> </w:t>
      </w:r>
      <w:r>
        <w:t xml:space="preserve">general-purpose AI model rules in Chapter V and the governance and</w:t>
      </w:r>
      <w:r>
        <w:t xml:space="preserve"> </w:t>
      </w:r>
      <w:r>
        <w:t xml:space="preserve">penalties chapters apply from 2 August 2025; the principal high-risk</w:t>
      </w:r>
      <w:r>
        <w:t xml:space="preserve"> </w:t>
      </w:r>
      <w:r>
        <w:t xml:space="preserve">obligations under Annex III apply from 2 August 2026; and the high-risk</w:t>
      </w:r>
      <w:r>
        <w:t xml:space="preserve"> </w:t>
      </w:r>
      <w:r>
        <w:t xml:space="preserve">obligations for systems embedded in products covered by Annex I</w:t>
      </w:r>
      <w:r>
        <w:t xml:space="preserve"> </w:t>
      </w:r>
      <w:r>
        <w:t xml:space="preserve">product-safety legislation apply from 2 August 2027.</w:t>
      </w:r>
    </w:p>
    <w:p>
      <w:pPr>
        <w:pStyle w:val="BodyText"/>
      </w:pPr>
      <w:r>
        <w:rPr>
          <w:b/>
          <w:bCs/>
        </w:rPr>
        <w:t xml:space="preserve">Classification.</w:t>
      </w:r>
      <w:r>
        <w:t xml:space="preserve"> </w:t>
      </w:r>
      <w:r>
        <w:t xml:space="preserve">The Trust Identity Protocol is not</w:t>
      </w:r>
      <w:r>
        <w:t xml:space="preserve"> </w:t>
      </w:r>
      <w:r>
        <w:t xml:space="preserve">an “AI system” within the meaning of Article 3(1) of the AI Act. The</w:t>
      </w:r>
      <w:r>
        <w:t xml:space="preserve"> </w:t>
      </w:r>
      <w:r>
        <w:t xml:space="preserve">protocol’s core operations consist of cryptographic key generation,</w:t>
      </w:r>
      <w:r>
        <w:t xml:space="preserve"> </w:t>
      </w:r>
      <w:r>
        <w:t xml:space="preserve">deterministic content normalization, digital signature production and</w:t>
      </w:r>
      <w:r>
        <w:t xml:space="preserve"> </w:t>
      </w:r>
      <w:r>
        <w:t xml:space="preserve">verification, and the recording of signed events on an append-only</w:t>
      </w:r>
      <w:r>
        <w:t xml:space="preserve"> </w:t>
      </w:r>
      <w:r>
        <w:t xml:space="preserve">directed acyclic graph. These operations do not constitute a</w:t>
      </w:r>
      <w:r>
        <w:t xml:space="preserve"> </w:t>
      </w:r>
      <w:r>
        <w:t xml:space="preserve">machine-based system designed to operate with varying levels of autonomy</w:t>
      </w:r>
      <w:r>
        <w:t xml:space="preserve"> </w:t>
      </w:r>
      <w:r>
        <w:t xml:space="preserve">producing outputs that influence physical or virtual environments. The</w:t>
      </w:r>
      <w:r>
        <w:t xml:space="preserve"> </w:t>
      </w:r>
      <w:r>
        <w:t xml:space="preserve">protocol is therefore not subject to the obligations of providers,</w:t>
      </w:r>
      <w:r>
        <w:t xml:space="preserve"> </w:t>
      </w:r>
      <w:r>
        <w:t xml:space="preserve">importers, distributors, or deployers of AI systems. Three operational</w:t>
      </w:r>
      <w:r>
        <w:t xml:space="preserve"> </w:t>
      </w:r>
      <w:r>
        <w:t xml:space="preserve">components carrying AI elements are addressed in Section 10.8 and are</w:t>
      </w:r>
      <w:r>
        <w:t xml:space="preserve"> </w:t>
      </w:r>
      <w:r>
        <w:t xml:space="preserve">not high-risk under Annex III.</w:t>
      </w:r>
    </w:p>
    <w:p>
      <w:pPr>
        <w:pStyle w:val="BodyText"/>
      </w:pPr>
      <w:r>
        <w:rPr>
          <w:b/>
          <w:bCs/>
        </w:rPr>
        <w:t xml:space="preserve">Article 5(1)(c) social scoring.</w:t>
      </w:r>
      <w:r>
        <w:t xml:space="preserve"> </w:t>
      </w:r>
      <w:r>
        <w:t xml:space="preserve">The Trust Score</w:t>
      </w:r>
      <w:r>
        <w:t xml:space="preserve"> </w:t>
      </w:r>
      <w:r>
        <w:t xml:space="preserve">described in Part VI is not a social scoring system within the meaning</w:t>
      </w:r>
      <w:r>
        <w:t xml:space="preserve"> </w:t>
      </w:r>
      <w:r>
        <w:t xml:space="preserve">of Article 5(1)(c). The Trust Score evaluates content authenticity and</w:t>
      </w:r>
      <w:r>
        <w:t xml:space="preserve"> </w:t>
      </w:r>
      <w:r>
        <w:t xml:space="preserve">operator behavior within the protocol context. It does not classify</w:t>
      </w:r>
      <w:r>
        <w:t xml:space="preserve"> </w:t>
      </w:r>
      <w:r>
        <w:t xml:space="preserve">natural persons by their social behavior, personality, or personal</w:t>
      </w:r>
      <w:r>
        <w:t xml:space="preserve"> </w:t>
      </w:r>
      <w:r>
        <w:t xml:space="preserve">characteristics across contexts unrelated to the data’s original</w:t>
      </w:r>
      <w:r>
        <w:t xml:space="preserve"> </w:t>
      </w:r>
      <w:r>
        <w:t xml:space="preserve">collection. The Trust Identity Protocol Charter expressly prohibits the</w:t>
      </w:r>
      <w:r>
        <w:t xml:space="preserve"> </w:t>
      </w:r>
      <w:r>
        <w:t xml:space="preserve">use of the Trust Score by Verification Providers and Node Operators to</w:t>
      </w:r>
      <w:r>
        <w:t xml:space="preserve"> </w:t>
      </w:r>
      <w:r>
        <w:t xml:space="preserve">score natural persons in social contexts unrelated to the protocol.</w:t>
      </w:r>
    </w:p>
    <w:p>
      <w:pPr>
        <w:pStyle w:val="BodyText"/>
      </w:pPr>
      <w:r>
        <w:rPr>
          <w:b/>
          <w:bCs/>
        </w:rPr>
        <w:t xml:space="preserve">Article 50 transparency obligations.</w:t>
      </w:r>
      <w:r>
        <w:t xml:space="preserve"> </w:t>
      </w:r>
      <w:r>
        <w:t xml:space="preserve">Article 50(2)</w:t>
      </w:r>
      <w:r>
        <w:t xml:space="preserve"> </w:t>
      </w:r>
      <w:r>
        <w:t xml:space="preserve">requires providers of AI systems, including general-purpose AI systems,</w:t>
      </w:r>
      <w:r>
        <w:t xml:space="preserve"> </w:t>
      </w:r>
      <w:r>
        <w:t xml:space="preserve">generating synthetic audio, image, video, or text content to ensure that</w:t>
      </w:r>
      <w:r>
        <w:t xml:space="preserve"> </w:t>
      </w:r>
      <w:r>
        <w:t xml:space="preserve">the outputs of the AI system are marked in a machine-readable format and</w:t>
      </w:r>
      <w:r>
        <w:t xml:space="preserve"> </w:t>
      </w:r>
      <w:r>
        <w:t xml:space="preserve">detectable as artificially generated or manipulated. Article 50(4)</w:t>
      </w:r>
      <w:r>
        <w:t xml:space="preserve"> </w:t>
      </w:r>
      <w:r>
        <w:t xml:space="preserve">requires deployers of an AI system that generates or manipulates image,</w:t>
      </w:r>
      <w:r>
        <w:t xml:space="preserve"> </w:t>
      </w:r>
      <w:r>
        <w:t xml:space="preserve">audio, or video content constituting a deep fake to disclose that the</w:t>
      </w:r>
      <w:r>
        <w:t xml:space="preserve"> </w:t>
      </w:r>
      <w:r>
        <w:t xml:space="preserve">content has been artificially generated or manipulated. The Trust</w:t>
      </w:r>
      <w:r>
        <w:t xml:space="preserve"> </w:t>
      </w:r>
      <w:r>
        <w:t xml:space="preserve">Identity Protocol is designed to supply the machine-readable marking</w:t>
      </w:r>
      <w:r>
        <w:t xml:space="preserve"> </w:t>
      </w:r>
      <w:r>
        <w:t xml:space="preserve">required by Article 50(2) through the CNA-2.2 content fingerprint and</w:t>
      </w:r>
      <w:r>
        <w:t xml:space="preserve"> </w:t>
      </w:r>
      <w:r>
        <w:t xml:space="preserve">the Origin Code system (codes OH, AA, AG, MX, defined in Part V). The</w:t>
      </w:r>
      <w:r>
        <w:t xml:space="preserve"> </w:t>
      </w:r>
      <w:r>
        <w:t xml:space="preserve">Global Seal of Trust and the reader-facing badge supply the</w:t>
      </w:r>
      <w:r>
        <w:t xml:space="preserve"> </w:t>
      </w:r>
      <w:r>
        <w:t xml:space="preserve">human-readable disclosure contemplated by Article 50(4). Providers and</w:t>
      </w:r>
      <w:r>
        <w:t xml:space="preserve"> </w:t>
      </w:r>
      <w:r>
        <w:t xml:space="preserve">deployers using TIP to satisfy their Article 50 obligations should</w:t>
      </w:r>
      <w:r>
        <w:t xml:space="preserve"> </w:t>
      </w:r>
      <w:r>
        <w:t xml:space="preserve">consult Section 9.1.1.bis of the AI Office implementing guidance issued</w:t>
      </w:r>
      <w:r>
        <w:t xml:space="preserve"> </w:t>
      </w:r>
      <w:r>
        <w:t xml:space="preserve">from time to time.</w:t>
      </w:r>
    </w:p>
    <w:p>
      <w:pPr>
        <w:pStyle w:val="BodyText"/>
      </w:pPr>
      <w:r>
        <w:rPr>
          <w:b/>
          <w:bCs/>
        </w:rPr>
        <w:t xml:space="preserve">Article 14 human oversight.</w:t>
      </w:r>
      <w:r>
        <w:t xml:space="preserve"> </w:t>
      </w:r>
      <w:r>
        <w:t xml:space="preserve">Any optional AI-assisted</w:t>
      </w:r>
      <w:r>
        <w:t xml:space="preserve"> </w:t>
      </w:r>
      <w:r>
        <w:t xml:space="preserve">dispute pre-classification component of the protocol is subject to the</w:t>
      </w:r>
      <w:r>
        <w:t xml:space="preserve"> </w:t>
      </w:r>
      <w:r>
        <w:t xml:space="preserve">human-in-the-loop requirement structurally enforced by the bonded juror</w:t>
      </w:r>
      <w:r>
        <w:t xml:space="preserve"> </w:t>
      </w:r>
      <w:r>
        <w:t xml:space="preserve">final-determination rule in Part VI.</w:t>
      </w:r>
    </w:p>
    <w:p>
      <w:pPr>
        <w:pStyle w:val="BodyText"/>
      </w:pPr>
      <w:r>
        <w:rPr>
          <w:b/>
          <w:bCs/>
        </w:rPr>
        <w:t xml:space="preserve">Article 4 AI literacy.</w:t>
      </w:r>
      <w:r>
        <w:t xml:space="preserve"> </w:t>
      </w:r>
      <w:r>
        <w:t xml:space="preserve">The AI Lab maintains a</w:t>
      </w:r>
      <w:r>
        <w:t xml:space="preserve"> </w:t>
      </w:r>
      <w:r>
        <w:t xml:space="preserve">written AI literacy program for its officers, employees, and</w:t>
      </w:r>
      <w:r>
        <w:t xml:space="preserve"> </w:t>
      </w:r>
      <w:r>
        <w:t xml:space="preserve">consultants. Founding Node Operator Agreements and Verification Provider</w:t>
      </w:r>
      <w:r>
        <w:t xml:space="preserve"> </w:t>
      </w:r>
      <w:r>
        <w:t xml:space="preserve">accreditation agreements include an analogous obligation for the</w:t>
      </w:r>
      <w:r>
        <w:t xml:space="preserve"> </w:t>
      </w:r>
      <w:r>
        <w:t xml:space="preserve">counterparty’s personnel.</w:t>
      </w:r>
    </w:p>
    <w:p>
      <w:pPr>
        <w:pStyle w:val="BodyText"/>
      </w:pPr>
      <w:r>
        <w:rPr>
          <w:b/>
          <w:bCs/>
        </w:rPr>
        <w:t xml:space="preserve">Article 95 voluntary codes of conduct.</w:t>
      </w:r>
      <w:r>
        <w:t xml:space="preserve"> </w:t>
      </w:r>
      <w:r>
        <w:t xml:space="preserve">The AI Trust</w:t>
      </w:r>
      <w:r>
        <w:t xml:space="preserve"> </w:t>
      </w:r>
      <w:r>
        <w:t xml:space="preserve">Council is constituted to be the kind of multi-stakeholder body</w:t>
      </w:r>
      <w:r>
        <w:t xml:space="preserve"> </w:t>
      </w:r>
      <w:r>
        <w:t xml:space="preserve">contemplated by Article 95. The AI Lab and the Council will, at an</w:t>
      </w:r>
      <w:r>
        <w:t xml:space="preserve"> </w:t>
      </w:r>
      <w:r>
        <w:t xml:space="preserve">appropriate time, seek recognition of the protocol’s governance regime</w:t>
      </w:r>
      <w:r>
        <w:t xml:space="preserve"> </w:t>
      </w:r>
      <w:r>
        <w:t xml:space="preserve">as a voluntary code of conduct under Article 95.</w:t>
      </w:r>
    </w:p>
    <w:p>
      <w:pPr>
        <w:pStyle w:val="BodyText"/>
      </w:pPr>
      <w:r>
        <w:rPr>
          <w:b/>
          <w:bCs/>
        </w:rPr>
        <w:t xml:space="preserve">Article 56 codes of practice for general-purpose AI.</w:t>
      </w:r>
      <w:r>
        <w:t xml:space="preserve"> </w:t>
      </w:r>
      <w:r>
        <w:t xml:space="preserve">Providers of general-purpose AI models electing to comply with the</w:t>
      </w:r>
      <w:r>
        <w:t xml:space="preserve"> </w:t>
      </w:r>
      <w:r>
        <w:t xml:space="preserve">General-Purpose AI Code of Practice published by the European</w:t>
      </w:r>
      <w:r>
        <w:t xml:space="preserve"> </w:t>
      </w:r>
      <w:r>
        <w:t xml:space="preserve">Commission on 10 July 2025 may use the Trust Identity Protocol as</w:t>
      </w:r>
      <w:r>
        <w:t xml:space="preserve"> </w:t>
      </w:r>
      <w:r>
        <w:t xml:space="preserve">the provenance backbone for the marking and disclosure measures</w:t>
      </w:r>
      <w:r>
        <w:t xml:space="preserve"> </w:t>
      </w:r>
      <w:r>
        <w:t xml:space="preserve">contemplated by the Code.</w:t>
      </w:r>
    </w:p>
    <w:p>
      <w:pPr>
        <w:pStyle w:val="BodyText"/>
      </w:pPr>
      <w:r>
        <w:rPr>
          <w:b/>
          <w:bCs/>
        </w:rPr>
        <w:t xml:space="preserve">EU Authorized Representative under Article 22.</w:t>
      </w:r>
      <w:r>
        <w:t xml:space="preserve"> </w:t>
      </w:r>
      <w:r>
        <w:t xml:space="preserve">The</w:t>
      </w:r>
      <w:r>
        <w:t xml:space="preserve"> </w:t>
      </w:r>
      <w:r>
        <w:t xml:space="preserve">Trust Identity Protocol, as published in this whitepaper, does not</w:t>
      </w:r>
      <w:r>
        <w:t xml:space="preserve"> </w:t>
      </w:r>
      <w:r>
        <w:t xml:space="preserve">include any component subject to the obligations of an authorized</w:t>
      </w:r>
      <w:r>
        <w:t xml:space="preserve"> </w:t>
      </w:r>
      <w:r>
        <w:t xml:space="preserve">representative under Article 22. If, on a future application of the AI</w:t>
      </w:r>
      <w:r>
        <w:t xml:space="preserve"> </w:t>
      </w:r>
      <w:r>
        <w:t xml:space="preserve">Act, designation of an authorized representative becomes required, The</w:t>
      </w:r>
      <w:r>
        <w:t xml:space="preserve"> </w:t>
      </w:r>
      <w:r>
        <w:t xml:space="preserve">AI Lab will designate such a representative and will publish the</w:t>
      </w:r>
      <w:r>
        <w:t xml:space="preserve"> </w:t>
      </w:r>
      <w:r>
        <w:t xml:space="preserve">designation on theailab.org.</w:t>
      </w:r>
    </w:p>
    <w:bookmarkEnd w:id="215"/>
    <w:bookmarkStart w:id="216" w:name="Xdc415dbc92d457b479a8a3e048c126acd736fd0"/>
    <w:p>
      <w:pPr>
        <w:pStyle w:val="Heading3"/>
      </w:pPr>
      <w:r>
        <w:t xml:space="preserve">9.1.2 General Data Protection Regulation, Regulation (EU) 2016/679</w:t>
      </w:r>
    </w:p>
    <w:p>
      <w:pPr>
        <w:pStyle w:val="FirstParagraph"/>
      </w:pPr>
      <w:r>
        <w:t xml:space="preserve">Regulation (EU) 2016/679 of the European Parliament and of the</w:t>
      </w:r>
      <w:r>
        <w:t xml:space="preserve"> </w:t>
      </w:r>
      <w:r>
        <w:t xml:space="preserve">Council of 27 April 2016 (the “GDPR”) applies to the processing of</w:t>
      </w:r>
      <w:r>
        <w:t xml:space="preserve"> </w:t>
      </w:r>
      <w:r>
        <w:t xml:space="preserve">personal data of natural persons in the European Union, including</w:t>
      </w:r>
      <w:r>
        <w:t xml:space="preserve"> </w:t>
      </w:r>
      <w:r>
        <w:t xml:space="preserve">processing by controllers and processors not established in the Union</w:t>
      </w:r>
      <w:r>
        <w:t xml:space="preserve"> </w:t>
      </w:r>
      <w:r>
        <w:t xml:space="preserve">where the processing relates to the offering of goods or services to</w:t>
      </w:r>
      <w:r>
        <w:t xml:space="preserve"> </w:t>
      </w:r>
      <w:r>
        <w:t xml:space="preserve">data subjects in the Union or the monitoring of their behavior within</w:t>
      </w:r>
      <w:r>
        <w:t xml:space="preserve"> </w:t>
      </w:r>
      <w:r>
        <w:t xml:space="preserve">the Union (Article 3).</w:t>
      </w:r>
    </w:p>
    <w:p>
      <w:pPr>
        <w:pStyle w:val="BodyText"/>
      </w:pPr>
      <w:r>
        <w:rPr>
          <w:b/>
          <w:bCs/>
        </w:rPr>
        <w:t xml:space="preserve">Lawful basis.</w:t>
      </w:r>
      <w:r>
        <w:t xml:space="preserve"> </w:t>
      </w:r>
      <w:r>
        <w:t xml:space="preserve">Verification Providers process</w:t>
      </w:r>
      <w:r>
        <w:t xml:space="preserve"> </w:t>
      </w:r>
      <w:r>
        <w:t xml:space="preserve">personal data on the lawful basis of consent of the data subject under</w:t>
      </w:r>
      <w:r>
        <w:t xml:space="preserve"> </w:t>
      </w:r>
      <w:r>
        <w:t xml:space="preserve">Article 6(1)(a), supplemented where applicable by performance of</w:t>
      </w:r>
      <w:r>
        <w:t xml:space="preserve"> </w:t>
      </w:r>
      <w:r>
        <w:t xml:space="preserve">contract under Article 6(1)(b) and legitimate interests under Article</w:t>
      </w:r>
      <w:r>
        <w:t xml:space="preserve"> </w:t>
      </w:r>
      <w:r>
        <w:t xml:space="preserve">6(1)(f). Verification Providers operating under public authority may</w:t>
      </w:r>
      <w:r>
        <w:t xml:space="preserve"> </w:t>
      </w:r>
      <w:r>
        <w:t xml:space="preserve">rely on Article 6(1)(e).</w:t>
      </w:r>
    </w:p>
    <w:p>
      <w:pPr>
        <w:pStyle w:val="BodyText"/>
      </w:pPr>
      <w:r>
        <w:rPr>
          <w:b/>
          <w:bCs/>
        </w:rPr>
        <w:t xml:space="preserve">Special category data.</w:t>
      </w:r>
      <w:r>
        <w:t xml:space="preserve"> </w:t>
      </w:r>
      <w:r>
        <w:t xml:space="preserve">The optional biometric</w:t>
      </w:r>
      <w:r>
        <w:t xml:space="preserve"> </w:t>
      </w:r>
      <w:r>
        <w:t xml:space="preserve">binding of a CTID involves the processing of biometric data within the</w:t>
      </w:r>
      <w:r>
        <w:t xml:space="preserve"> </w:t>
      </w:r>
      <w:r>
        <w:t xml:space="preserve">meaning of Article 9(1). Verification Providers process such data on the</w:t>
      </w:r>
      <w:r>
        <w:t xml:space="preserve"> </w:t>
      </w:r>
      <w:r>
        <w:t xml:space="preserve">basis of explicit consent under Article 9(2)(a). The architectural</w:t>
      </w:r>
      <w:r>
        <w:t xml:space="preserve"> </w:t>
      </w:r>
      <w:r>
        <w:t xml:space="preserve">design of TIP-ID materially mitigates the scope of biometric data</w:t>
      </w:r>
      <w:r>
        <w:t xml:space="preserve"> </w:t>
      </w:r>
      <w:r>
        <w:t xml:space="preserve">processing: the biometric template is generated, stored, and matched on</w:t>
      </w:r>
      <w:r>
        <w:t xml:space="preserve"> </w:t>
      </w:r>
      <w:r>
        <w:t xml:space="preserve">the user’s device (a WebAuthn resident key authenticator); the biometric</w:t>
      </w:r>
      <w:r>
        <w:t xml:space="preserve"> </w:t>
      </w:r>
      <w:r>
        <w:t xml:space="preserve">template does not leave the device; the Verification Provider receives</w:t>
      </w:r>
      <w:r>
        <w:t xml:space="preserve"> </w:t>
      </w:r>
      <w:r>
        <w:t xml:space="preserve">only the public key of the WebAuthn credential and the attestation that</w:t>
      </w:r>
      <w:r>
        <w:t xml:space="preserve"> </w:t>
      </w:r>
      <w:r>
        <w:t xml:space="preserve">the device verified the user. The Verification Provider does not store</w:t>
      </w:r>
      <w:r>
        <w:t xml:space="preserve"> </w:t>
      </w:r>
      <w:r>
        <w:t xml:space="preserve">the biometric template.</w:t>
      </w:r>
    </w:p>
    <w:p>
      <w:pPr>
        <w:pStyle w:val="BodyText"/>
      </w:pPr>
      <w:r>
        <w:rPr>
          <w:b/>
          <w:bCs/>
        </w:rPr>
        <w:t xml:space="preserve">Article 17 right to erasure and the append-only DAG.</w:t>
      </w:r>
      <w:r>
        <w:t xml:space="preserve"> </w:t>
      </w:r>
      <w:r>
        <w:t xml:space="preserve">The structural tension between the right to erasure and the append-only</w:t>
      </w:r>
      <w:r>
        <w:t xml:space="preserve"> </w:t>
      </w:r>
      <w:r>
        <w:t xml:space="preserve">nature of the federated DAG is addressed by a pseudonymization approach</w:t>
      </w:r>
      <w:r>
        <w:t xml:space="preserve"> </w:t>
      </w:r>
      <w:r>
        <w:t xml:space="preserve">consistent with Recital 26 of the GDPR and with the guidance of the</w:t>
      </w:r>
      <w:r>
        <w:t xml:space="preserve"> </w:t>
      </w:r>
      <w:r>
        <w:t xml:space="preserve">European Data Protection Board on pseudonymization. The CTID stored on</w:t>
      </w:r>
      <w:r>
        <w:t xml:space="preserve"> </w:t>
      </w:r>
      <w:r>
        <w:t xml:space="preserve">the DAG is a pseudonymous identifier derived from a public cryptographic</w:t>
      </w:r>
      <w:r>
        <w:t xml:space="preserve"> </w:t>
      </w:r>
      <w:r>
        <w:t xml:space="preserve">key, not directly identifiable personal data. Upon a verified erasure</w:t>
      </w:r>
      <w:r>
        <w:t xml:space="preserve"> </w:t>
      </w:r>
      <w:r>
        <w:t xml:space="preserve">request, the Verification Provider that issued the CTID deletes the</w:t>
      </w:r>
      <w:r>
        <w:t xml:space="preserve"> </w:t>
      </w:r>
      <w:r>
        <w:t xml:space="preserve">linkage between the CTID and the data subject’s real-world identity from</w:t>
      </w:r>
      <w:r>
        <w:t xml:space="preserve"> </w:t>
      </w:r>
      <w:r>
        <w:t xml:space="preserve">the Verification Provider’s records. The CTID hash remains on the DAG as</w:t>
      </w:r>
      <w:r>
        <w:t xml:space="preserve"> </w:t>
      </w:r>
      <w:r>
        <w:t xml:space="preserve">an orphaned pseudonymous record with no link to any identifiable natural</w:t>
      </w:r>
      <w:r>
        <w:t xml:space="preserve"> </w:t>
      </w:r>
      <w:r>
        <w:t xml:space="preserve">person. The Node Operator is not required to delete DAG records, because</w:t>
      </w:r>
      <w:r>
        <w:t xml:space="preserve"> </w:t>
      </w:r>
      <w:r>
        <w:t xml:space="preserve">the pseudonymized hash alone, in the absence of the Verification</w:t>
      </w:r>
      <w:r>
        <w:t xml:space="preserve"> </w:t>
      </w:r>
      <w:r>
        <w:t xml:space="preserve">Provider-held linkage, does not constitute personal data within the</w:t>
      </w:r>
      <w:r>
        <w:t xml:space="preserve"> </w:t>
      </w:r>
      <w:r>
        <w:t xml:space="preserve">meaning of Article 4(1).</w:t>
      </w:r>
    </w:p>
    <w:p>
      <w:pPr>
        <w:pStyle w:val="BodyText"/>
      </w:pPr>
      <w:r>
        <w:rPr>
          <w:b/>
          <w:bCs/>
        </w:rPr>
        <w:t xml:space="preserve">Article 22 solely automated decision-making.</w:t>
      </w:r>
      <w:r>
        <w:t xml:space="preserve"> </w:t>
      </w:r>
      <w:r>
        <w:t xml:space="preserve">The</w:t>
      </w:r>
      <w:r>
        <w:t xml:space="preserve"> </w:t>
      </w:r>
      <w:r>
        <w:t xml:space="preserve">Trust Score is not a solely automated decision producing legal effects</w:t>
      </w:r>
      <w:r>
        <w:t xml:space="preserve"> </w:t>
      </w:r>
      <w:r>
        <w:t xml:space="preserve">concerning natural persons or similarly significantly affecting them</w:t>
      </w:r>
      <w:r>
        <w:t xml:space="preserve"> </w:t>
      </w:r>
      <w:r>
        <w:t xml:space="preserve">within the meaning of Article 22(1). Where a Trust Score change results</w:t>
      </w:r>
      <w:r>
        <w:t xml:space="preserve"> </w:t>
      </w:r>
      <w:r>
        <w:t xml:space="preserve">from a dispute adjudication, the final determination is made by bonded</w:t>
      </w:r>
      <w:r>
        <w:t xml:space="preserve"> </w:t>
      </w:r>
      <w:r>
        <w:t xml:space="preserve">human jurors, satisfying the meaningful human element. Where a platform</w:t>
      </w:r>
      <w:r>
        <w:t xml:space="preserve"> </w:t>
      </w:r>
      <w:r>
        <w:t xml:space="preserve">uses the Trust Score to inform automated decisions about content</w:t>
      </w:r>
      <w:r>
        <w:t xml:space="preserve"> </w:t>
      </w:r>
      <w:r>
        <w:t xml:space="preserve">visibility, the platform is the controller of that automated decision</w:t>
      </w:r>
      <w:r>
        <w:t xml:space="preserve"> </w:t>
      </w:r>
      <w:r>
        <w:t xml:space="preserve">and is responsible for meeting Article 22 in its own implementation.</w:t>
      </w:r>
    </w:p>
    <w:p>
      <w:pPr>
        <w:pStyle w:val="BodyText"/>
      </w:pPr>
      <w:r>
        <w:rPr>
          <w:b/>
          <w:bCs/>
        </w:rPr>
        <w:t xml:space="preserve">Article 35 data protection impact assessment.</w:t>
      </w:r>
      <w:r>
        <w:t xml:space="preserve"> </w:t>
      </w:r>
      <w:r>
        <w:t xml:space="preserve">The AI</w:t>
      </w:r>
      <w:r>
        <w:t xml:space="preserve"> </w:t>
      </w:r>
      <w:r>
        <w:t xml:space="preserve">Lab has conducted a data protection impact assessment for the reference</w:t>
      </w:r>
      <w:r>
        <w:t xml:space="preserve"> </w:t>
      </w:r>
      <w:r>
        <w:t xml:space="preserve">architecture of the Trust Identity Protocol. Verification Providers are</w:t>
      </w:r>
      <w:r>
        <w:t xml:space="preserve"> </w:t>
      </w:r>
      <w:r>
        <w:t xml:space="preserve">required by the accreditation agreement to conduct an Article 35 impact</w:t>
      </w:r>
      <w:r>
        <w:t xml:space="preserve"> </w:t>
      </w:r>
      <w:r>
        <w:t xml:space="preserve">assessment for their own processing operations. A model impact</w:t>
      </w:r>
      <w:r>
        <w:t xml:space="preserve"> </w:t>
      </w:r>
      <w:r>
        <w:t xml:space="preserve">assessment is published at theailab.org/dpia.</w:t>
      </w:r>
    </w:p>
    <w:p>
      <w:pPr>
        <w:pStyle w:val="BodyText"/>
      </w:pPr>
      <w:r>
        <w:rPr>
          <w:b/>
          <w:bCs/>
        </w:rPr>
        <w:t xml:space="preserve">Chapter V cross-border transfers.</w:t>
      </w:r>
      <w:r>
        <w:t xml:space="preserve"> </w:t>
      </w:r>
      <w:r>
        <w:t xml:space="preserve">Transfers of</w:t>
      </w:r>
      <w:r>
        <w:t xml:space="preserve"> </w:t>
      </w:r>
      <w:r>
        <w:t xml:space="preserve">personal data from the European Union to Verification Providers</w:t>
      </w:r>
      <w:r>
        <w:t xml:space="preserve"> </w:t>
      </w:r>
      <w:r>
        <w:t xml:space="preserve">established outside the European Union are made on the basis of (a) an</w:t>
      </w:r>
      <w:r>
        <w:t xml:space="preserve"> </w:t>
      </w:r>
      <w:r>
        <w:t xml:space="preserve">adequacy decision adopted by the European Commission where applicable,</w:t>
      </w:r>
      <w:r>
        <w:t xml:space="preserve"> </w:t>
      </w:r>
      <w:r>
        <w:t xml:space="preserve">(b) standard contractual clauses adopted by the European Commission, or</w:t>
      </w:r>
      <w:r>
        <w:t xml:space="preserve"> </w:t>
      </w:r>
      <w:r>
        <w:t xml:space="preserve">(c) binding corporate rules approved by the competent supervisory</w:t>
      </w:r>
      <w:r>
        <w:t xml:space="preserve"> </w:t>
      </w:r>
      <w:r>
        <w:t xml:space="preserve">authority. Verification Providers operating in jurisdictions with</w:t>
      </w:r>
      <w:r>
        <w:t xml:space="preserve"> </w:t>
      </w:r>
      <w:r>
        <w:t xml:space="preserve">sectoral or general adequacy decisions are identified in the</w:t>
      </w:r>
      <w:r>
        <w:t xml:space="preserve"> </w:t>
      </w:r>
      <w:r>
        <w:t xml:space="preserve">Verification Provider Registry.</w:t>
      </w:r>
    </w:p>
    <w:bookmarkEnd w:id="216"/>
    <w:bookmarkStart w:id="217" w:name="X751fc4c38054a44960561760e64e1213cb16554"/>
    <w:p>
      <w:pPr>
        <w:pStyle w:val="Heading3"/>
      </w:pPr>
      <w:r>
        <w:t xml:space="preserve">9.1.3 Digital Services Act, Regulation (EU) 2022/2065</w:t>
      </w:r>
    </w:p>
    <w:p>
      <w:pPr>
        <w:pStyle w:val="FirstParagraph"/>
      </w:pPr>
      <w:r>
        <w:t xml:space="preserve">Regulation (EU) 2022/2065 of the European Parliament and of the</w:t>
      </w:r>
      <w:r>
        <w:t xml:space="preserve"> </w:t>
      </w:r>
      <w:r>
        <w:t xml:space="preserve">Council of 19 October 2022 (the “Digital Services Act”) imposes</w:t>
      </w:r>
      <w:r>
        <w:t xml:space="preserve"> </w:t>
      </w:r>
      <w:r>
        <w:t xml:space="preserve">obligations on providers of intermediary services, including hosting</w:t>
      </w:r>
      <w:r>
        <w:t xml:space="preserve"> </w:t>
      </w:r>
      <w:r>
        <w:t xml:space="preserve">services and online platforms, with augmented obligations for very large</w:t>
      </w:r>
      <w:r>
        <w:t xml:space="preserve"> </w:t>
      </w:r>
      <w:r>
        <w:t xml:space="preserve">online platforms and very large online search engines under Chapter III,</w:t>
      </w:r>
      <w:r>
        <w:t xml:space="preserve"> </w:t>
      </w:r>
      <w:r>
        <w:t xml:space="preserve">Section 5.</w:t>
      </w:r>
    </w:p>
    <w:p>
      <w:pPr>
        <w:pStyle w:val="BodyText"/>
      </w:pPr>
      <w:r>
        <w:rPr>
          <w:b/>
          <w:bCs/>
        </w:rPr>
        <w:t xml:space="preserve">Article 30 trusted flaggers.</w:t>
      </w:r>
      <w:r>
        <w:t xml:space="preserve"> </w:t>
      </w:r>
      <w:r>
        <w:t xml:space="preserve">Accredited Verification</w:t>
      </w:r>
      <w:r>
        <w:t xml:space="preserve"> </w:t>
      </w:r>
      <w:r>
        <w:t xml:space="preserve">Providers may apply to Digital Services Coordinators for designation as</w:t>
      </w:r>
      <w:r>
        <w:t xml:space="preserve"> </w:t>
      </w:r>
      <w:r>
        <w:t xml:space="preserve">trusted flaggers under Article 22, where the Verification Provider’s</w:t>
      </w:r>
      <w:r>
        <w:t xml:space="preserve"> </w:t>
      </w:r>
      <w:r>
        <w:t xml:space="preserve">expertise relates to the detection of inauthentic accounts or</w:t>
      </w:r>
      <w:r>
        <w:t xml:space="preserve"> </w:t>
      </w:r>
      <w:r>
        <w:t xml:space="preserve">manipulated content. The Trust Identity Protocol supplies a technical</w:t>
      </w:r>
      <w:r>
        <w:t xml:space="preserve"> </w:t>
      </w:r>
      <w:r>
        <w:t xml:space="preserve">mechanism by which a trusted flagger may communicate to a platform that</w:t>
      </w:r>
      <w:r>
        <w:t xml:space="preserve"> </w:t>
      </w:r>
      <w:r>
        <w:t xml:space="preserve">an account or unit of content has been verified, suspended, or</w:t>
      </w:r>
      <w:r>
        <w:t xml:space="preserve"> </w:t>
      </w:r>
      <w:r>
        <w:t xml:space="preserve">revoked.</w:t>
      </w:r>
    </w:p>
    <w:p>
      <w:pPr>
        <w:pStyle w:val="BodyText"/>
      </w:pPr>
      <w:r>
        <w:rPr>
          <w:b/>
          <w:bCs/>
        </w:rPr>
        <w:t xml:space="preserve">Article 35 systemic risk mitigation by very large online</w:t>
      </w:r>
      <w:r>
        <w:rPr>
          <w:b/>
          <w:bCs/>
        </w:rPr>
        <w:t xml:space="preserve"> </w:t>
      </w:r>
      <w:r>
        <w:rPr>
          <w:b/>
          <w:bCs/>
        </w:rPr>
        <w:t xml:space="preserve">platforms.</w:t>
      </w:r>
      <w:r>
        <w:t xml:space="preserve"> </w:t>
      </w:r>
      <w:r>
        <w:t xml:space="preserve">Providers of very large online platforms and very</w:t>
      </w:r>
      <w:r>
        <w:t xml:space="preserve"> </w:t>
      </w:r>
      <w:r>
        <w:t xml:space="preserve">large online search engines are required by Article 34 to assess</w:t>
      </w:r>
      <w:r>
        <w:t xml:space="preserve"> </w:t>
      </w:r>
      <w:r>
        <w:t xml:space="preserve">systemic risks, including risks arising from the dissemination of</w:t>
      </w:r>
      <w:r>
        <w:t xml:space="preserve"> </w:t>
      </w:r>
      <w:r>
        <w:t xml:space="preserve">illegal content, fundamental rights infringements, civic discourse and</w:t>
      </w:r>
      <w:r>
        <w:t xml:space="preserve"> </w:t>
      </w:r>
      <w:r>
        <w:t xml:space="preserve">electoral processes, and gender-based violence and minors. Article 35</w:t>
      </w:r>
      <w:r>
        <w:t xml:space="preserve"> </w:t>
      </w:r>
      <w:r>
        <w:t xml:space="preserve">requires the implementation of mitigation measures. The Trust Identity</w:t>
      </w:r>
      <w:r>
        <w:t xml:space="preserve"> </w:t>
      </w:r>
      <w:r>
        <w:t xml:space="preserve">Protocol supplies a technical mechanism by which a very large online</w:t>
      </w:r>
      <w:r>
        <w:t xml:space="preserve"> </w:t>
      </w:r>
      <w:r>
        <w:t xml:space="preserve">platform may incorporate authenticated identity and content provenance</w:t>
      </w:r>
      <w:r>
        <w:t xml:space="preserve"> </w:t>
      </w:r>
      <w:r>
        <w:t xml:space="preserve">into its risk mitigation measures.</w:t>
      </w:r>
    </w:p>
    <w:p>
      <w:pPr>
        <w:pStyle w:val="BodyText"/>
      </w:pPr>
      <w:r>
        <w:rPr>
          <w:b/>
          <w:bCs/>
        </w:rPr>
        <w:t xml:space="preserve">Article 39 advertising transparency.</w:t>
      </w:r>
      <w:r>
        <w:t xml:space="preserve"> </w:t>
      </w:r>
      <w:r>
        <w:t xml:space="preserve">Where a unit of</w:t>
      </w:r>
      <w:r>
        <w:t xml:space="preserve"> </w:t>
      </w:r>
      <w:r>
        <w:t xml:space="preserve">content is an advertisement, the CNA-2.2 fingerprint and the TIP-CONTENT</w:t>
      </w:r>
      <w:r>
        <w:t xml:space="preserve"> </w:t>
      </w:r>
      <w:r>
        <w:t xml:space="preserve">record permit the platform to associate the advertisement with the</w:t>
      </w:r>
      <w:r>
        <w:t xml:space="preserve"> </w:t>
      </w:r>
      <w:r>
        <w:t xml:space="preserve">verified identity of the advertiser, supporting the transparency</w:t>
      </w:r>
      <w:r>
        <w:t xml:space="preserve"> </w:t>
      </w:r>
      <w:r>
        <w:t xml:space="preserve">obligations of Article 39.</w:t>
      </w:r>
    </w:p>
    <w:bookmarkEnd w:id="217"/>
    <w:bookmarkStart w:id="218" w:name="Xe75fb08d7b1355ec2427c6fea2b5ea2a5d1e738"/>
    <w:p>
      <w:pPr>
        <w:pStyle w:val="Heading3"/>
      </w:pPr>
      <w:r>
        <w:t xml:space="preserve">9.1.4 eIDAS and the European Digital Identity Wallet</w:t>
      </w:r>
    </w:p>
    <w:p>
      <w:pPr>
        <w:pStyle w:val="FirstParagraph"/>
      </w:pPr>
      <w:r>
        <w:t xml:space="preserve">Regulation (EU) 910/2014 of the European Parliament and of the</w:t>
      </w:r>
      <w:r>
        <w:t xml:space="preserve"> </w:t>
      </w:r>
      <w:r>
        <w:t xml:space="preserve">Council of 23 July 2014, as amended by Regulation (EU) 2024/1183 of 11</w:t>
      </w:r>
      <w:r>
        <w:t xml:space="preserve"> </w:t>
      </w:r>
      <w:r>
        <w:t xml:space="preserve">April 2024 (“eIDAS 2.0”), establishes the framework for electronic</w:t>
      </w:r>
      <w:r>
        <w:t xml:space="preserve"> </w:t>
      </w:r>
      <w:r>
        <w:t xml:space="preserve">identification and trust services for electronic transactions in the</w:t>
      </w:r>
      <w:r>
        <w:t xml:space="preserve"> </w:t>
      </w:r>
      <w:r>
        <w:t xml:space="preserve">internal market and introduces the European Digital Identity Wallet (the</w:t>
      </w:r>
      <w:r>
        <w:t xml:space="preserve"> </w:t>
      </w:r>
      <w:r>
        <w:t xml:space="preserve">“EUDI Wallet”).</w:t>
      </w:r>
    </w:p>
    <w:p>
      <w:pPr>
        <w:pStyle w:val="BodyText"/>
      </w:pPr>
      <w:r>
        <w:rPr>
          <w:b/>
          <w:bCs/>
        </w:rPr>
        <w:t xml:space="preserve">Interoperability with the EUDI Wallet.</w:t>
      </w:r>
      <w:r>
        <w:t xml:space="preserve"> </w:t>
      </w:r>
      <w:r>
        <w:t xml:space="preserve">The AI Lab</w:t>
      </w:r>
      <w:r>
        <w:t xml:space="preserve"> </w:t>
      </w:r>
      <w:r>
        <w:t xml:space="preserve">will, through the AI Trust Council, publish a CTID-to-EUDI-Wallet</w:t>
      </w:r>
      <w:r>
        <w:t xml:space="preserve"> </w:t>
      </w:r>
      <w:r>
        <w:t xml:space="preserve">interoperability profile describing how a CTID issued by a Verification</w:t>
      </w:r>
      <w:r>
        <w:t xml:space="preserve"> </w:t>
      </w:r>
      <w:r>
        <w:t xml:space="preserve">Provider may be presented in, and verified against, an EUDI Wallet</w:t>
      </w:r>
      <w:r>
        <w:t xml:space="preserve"> </w:t>
      </w:r>
      <w:r>
        <w:t xml:space="preserve">credential. The profile will align with the technical specifications</w:t>
      </w:r>
      <w:r>
        <w:t xml:space="preserve"> </w:t>
      </w:r>
      <w:r>
        <w:t xml:space="preserve">published by the European Commission for the EUDI Wallet Architecture</w:t>
      </w:r>
      <w:r>
        <w:t xml:space="preserve"> </w:t>
      </w:r>
      <w:r>
        <w:t xml:space="preserve">and Reference Framework.</w:t>
      </w:r>
    </w:p>
    <w:p>
      <w:pPr>
        <w:pStyle w:val="BodyText"/>
      </w:pPr>
      <w:r>
        <w:rPr>
          <w:b/>
          <w:bCs/>
        </w:rPr>
        <w:t xml:space="preserve">Qualified electronic signatures.</w:t>
      </w:r>
      <w:r>
        <w:t xml:space="preserve"> </w:t>
      </w:r>
      <w:r>
        <w:t xml:space="preserve">Verification</w:t>
      </w:r>
      <w:r>
        <w:t xml:space="preserve"> </w:t>
      </w:r>
      <w:r>
        <w:t xml:space="preserve">Providers electing to issue qualified electronic signatures or qualified</w:t>
      </w:r>
      <w:r>
        <w:t xml:space="preserve"> </w:t>
      </w:r>
      <w:r>
        <w:t xml:space="preserve">electronic attestations of attributes under eIDAS 2.0 may use ML-DSA-65</w:t>
      </w:r>
      <w:r>
        <w:t xml:space="preserve"> </w:t>
      </w:r>
      <w:r>
        <w:t xml:space="preserve">(FIPS 204) within signature suites recognised by the European</w:t>
      </w:r>
      <w:r>
        <w:t xml:space="preserve"> </w:t>
      </w:r>
      <w:r>
        <w:t xml:space="preserve">Telecommunications Standards Institute under ETSI TS 119 312 as such</w:t>
      </w:r>
      <w:r>
        <w:t xml:space="preserve"> </w:t>
      </w:r>
      <w:r>
        <w:t xml:space="preserve">suites are amended to incorporate post-quantum primitives. The selection</w:t>
      </w:r>
      <w:r>
        <w:t xml:space="preserve"> </w:t>
      </w:r>
      <w:r>
        <w:t xml:space="preserve">of ML-DSA-65 as the primary signature scheme of the Trust Identity</w:t>
      </w:r>
      <w:r>
        <w:t xml:space="preserve"> </w:t>
      </w:r>
      <w:r>
        <w:t xml:space="preserve">Protocol is aligned with the trajectory of the European Cybersecurity</w:t>
      </w:r>
      <w:r>
        <w:t xml:space="preserve"> </w:t>
      </w:r>
      <w:r>
        <w:t xml:space="preserve">Certification Framework toward post-quantum readiness.</w:t>
      </w:r>
    </w:p>
    <w:bookmarkEnd w:id="218"/>
    <w:bookmarkStart w:id="219" w:name="nis2-directive-directive-eu-20222555"/>
    <w:p>
      <w:pPr>
        <w:pStyle w:val="Heading3"/>
      </w:pPr>
      <w:r>
        <w:t xml:space="preserve">9.1.5 NIS2 Directive, Directive (EU) 2022/2555</w:t>
      </w:r>
    </w:p>
    <w:p>
      <w:pPr>
        <w:pStyle w:val="FirstParagraph"/>
      </w:pPr>
      <w:r>
        <w:t xml:space="preserve">Directive (EU) 2022/2555 of the European Parliament and of the</w:t>
      </w:r>
      <w:r>
        <w:t xml:space="preserve"> </w:t>
      </w:r>
      <w:r>
        <w:t xml:space="preserve">Council of 14 December 2022 (the “NIS2 Directive”) establishes measures</w:t>
      </w:r>
      <w:r>
        <w:t xml:space="preserve"> </w:t>
      </w:r>
      <w:r>
        <w:t xml:space="preserve">for a high common level of cybersecurity across the Union, including</w:t>
      </w:r>
      <w:r>
        <w:t xml:space="preserve"> </w:t>
      </w:r>
      <w:r>
        <w:t xml:space="preserve">obligations on essential and important entities to implement</w:t>
      </w:r>
      <w:r>
        <w:t xml:space="preserve"> </w:t>
      </w:r>
      <w:r>
        <w:t xml:space="preserve">cybersecurity risk-management measures and to notify significant</w:t>
      </w:r>
      <w:r>
        <w:t xml:space="preserve"> </w:t>
      </w:r>
      <w:r>
        <w:t xml:space="preserve">incidents.</w:t>
      </w:r>
    </w:p>
    <w:p>
      <w:pPr>
        <w:pStyle w:val="BodyText"/>
      </w:pPr>
      <w:r>
        <w:t xml:space="preserve">Founding Node Operators and Verification Providers established in the</w:t>
      </w:r>
      <w:r>
        <w:t xml:space="preserve"> </w:t>
      </w:r>
      <w:r>
        <w:t xml:space="preserve">European Union and meeting the size thresholds and sectoral criteria of</w:t>
      </w:r>
      <w:r>
        <w:t xml:space="preserve"> </w:t>
      </w:r>
      <w:r>
        <w:t xml:space="preserve">NIS2 may qualify as essential or important entities under Article 3.</w:t>
      </w:r>
      <w:r>
        <w:t xml:space="preserve"> </w:t>
      </w:r>
      <w:r>
        <w:t xml:space="preserve">Such entities are required by Article 23 to notify significant incidents</w:t>
      </w:r>
      <w:r>
        <w:t xml:space="preserve"> </w:t>
      </w:r>
      <w:r>
        <w:t xml:space="preserve">to the national computer security incident response team or the</w:t>
      </w:r>
      <w:r>
        <w:t xml:space="preserve"> </w:t>
      </w:r>
      <w:r>
        <w:t xml:space="preserve">competent authority through (a) an early warning within 24 hours, (b) an</w:t>
      </w:r>
      <w:r>
        <w:t xml:space="preserve"> </w:t>
      </w:r>
      <w:r>
        <w:t xml:space="preserve">incident notification within 72 hours, and (c) a final report within one</w:t>
      </w:r>
      <w:r>
        <w:t xml:space="preserve"> </w:t>
      </w:r>
      <w:r>
        <w:t xml:space="preserve">month. The Founding Node Operator Agreement and the Verification</w:t>
      </w:r>
      <w:r>
        <w:t xml:space="preserve"> </w:t>
      </w:r>
      <w:r>
        <w:t xml:space="preserve">Provider accreditation agreement include incident notification clauses</w:t>
      </w:r>
      <w:r>
        <w:t xml:space="preserve"> </w:t>
      </w:r>
      <w:r>
        <w:t xml:space="preserve">aligned with these NIS2 timelines.</w:t>
      </w:r>
    </w:p>
    <w:bookmarkEnd w:id="219"/>
    <w:bookmarkStart w:id="220" w:name="Xafc58ac1887e0fdaa0d6fca29bbe30d13c28ad1"/>
    <w:p>
      <w:pPr>
        <w:pStyle w:val="Heading3"/>
      </w:pPr>
      <w:r>
        <w:t xml:space="preserve">9.1.6 Cyber Resilience Act, Regulation (EU) 2024/2847</w:t>
      </w:r>
    </w:p>
    <w:p>
      <w:pPr>
        <w:pStyle w:val="FirstParagraph"/>
      </w:pPr>
      <w:r>
        <w:t xml:space="preserve">Regulation (EU) 2024/2847 of the European Parliament and of the</w:t>
      </w:r>
      <w:r>
        <w:t xml:space="preserve"> </w:t>
      </w:r>
      <w:r>
        <w:t xml:space="preserve">Council of 23 October 2024 (the “Cyber Resilience Act”) imposes</w:t>
      </w:r>
      <w:r>
        <w:t xml:space="preserve"> </w:t>
      </w:r>
      <w:r>
        <w:t xml:space="preserve">essential cybersecurity requirements on products with digital elements</w:t>
      </w:r>
      <w:r>
        <w:t xml:space="preserve"> </w:t>
      </w:r>
      <w:r>
        <w:t xml:space="preserve">placed on the European Union market. The principal obligations apply 36</w:t>
      </w:r>
      <w:r>
        <w:t xml:space="preserve"> </w:t>
      </w:r>
      <w:r>
        <w:t xml:space="preserve">months after entry into force.</w:t>
      </w:r>
    </w:p>
    <w:p>
      <w:pPr>
        <w:pStyle w:val="BodyText"/>
      </w:pPr>
      <w:r>
        <w:t xml:space="preserve">Reference implementations of the Trust Identity Protocol published by</w:t>
      </w:r>
      <w:r>
        <w:t xml:space="preserve"> </w:t>
      </w:r>
      <w:r>
        <w:t xml:space="preserve">The AI Lab are designed to meet the essential cybersecurity requirements</w:t>
      </w:r>
      <w:r>
        <w:t xml:space="preserve"> </w:t>
      </w:r>
      <w:r>
        <w:t xml:space="preserve">set out in Annex I of the Cyber Resilience Act, including</w:t>
      </w:r>
      <w:r>
        <w:t xml:space="preserve"> </w:t>
      </w:r>
      <w:r>
        <w:t xml:space="preserve">secure-by-default configuration, protection against unauthorised access,</w:t>
      </w:r>
      <w:r>
        <w:t xml:space="preserve"> </w:t>
      </w:r>
      <w:r>
        <w:t xml:space="preserve">vulnerability handling processes, the provision of a software bill of</w:t>
      </w:r>
      <w:r>
        <w:t xml:space="preserve"> </w:t>
      </w:r>
      <w:r>
        <w:t xml:space="preserve">materials, and a five-year support period from the date of placing on</w:t>
      </w:r>
      <w:r>
        <w:t xml:space="preserve"> </w:t>
      </w:r>
      <w:r>
        <w:t xml:space="preserve">the market. Manufacturers of products with digital elements</w:t>
      </w:r>
      <w:r>
        <w:t xml:space="preserve"> </w:t>
      </w:r>
      <w:r>
        <w:t xml:space="preserve">incorporating reference implementations of the Trust Identity Protocol</w:t>
      </w:r>
      <w:r>
        <w:t xml:space="preserve"> </w:t>
      </w:r>
      <w:r>
        <w:t xml:space="preserve">are responsible for the conformity assessment of their own products.</w:t>
      </w:r>
    </w:p>
    <w:bookmarkEnd w:id="220"/>
    <w:bookmarkStart w:id="221" w:name="X15167b02289a48e7dbb1b0ee45860584a67f342"/>
    <w:p>
      <w:pPr>
        <w:pStyle w:val="Heading3"/>
      </w:pPr>
      <w:r>
        <w:t xml:space="preserve">9.1.7 Council of Europe Framework Convention on AI</w:t>
      </w:r>
    </w:p>
    <w:p>
      <w:pPr>
        <w:pStyle w:val="FirstParagraph"/>
      </w:pPr>
      <w:r>
        <w:t xml:space="preserve">The Council of Europe Framework Convention on Artificial Intelligence</w:t>
      </w:r>
      <w:r>
        <w:t xml:space="preserve"> </w:t>
      </w:r>
      <w:r>
        <w:t xml:space="preserve">and Human Rights, Democracy and the Rule of Law (CETS No. 225), opened</w:t>
      </w:r>
      <w:r>
        <w:t xml:space="preserve"> </w:t>
      </w:r>
      <w:r>
        <w:t xml:space="preserve">for signature on 5 September 2024, establishes principles for the</w:t>
      </w:r>
      <w:r>
        <w:t xml:space="preserve"> </w:t>
      </w:r>
      <w:r>
        <w:t xml:space="preserve">activities within the lifecycle of AI systems consistent with human</w:t>
      </w:r>
      <w:r>
        <w:t xml:space="preserve"> </w:t>
      </w:r>
      <w:r>
        <w:t xml:space="preserve">rights, the functioning of democracy, and the rule of law. The Trust</w:t>
      </w:r>
      <w:r>
        <w:t xml:space="preserve"> </w:t>
      </w:r>
      <w:r>
        <w:t xml:space="preserve">Identity Protocol is designed to support each of the operative</w:t>
      </w:r>
      <w:r>
        <w:t xml:space="preserve"> </w:t>
      </w:r>
      <w:r>
        <w:t xml:space="preserve">principles of the Framework Convention, including human dignity and</w:t>
      </w:r>
      <w:r>
        <w:t xml:space="preserve"> </w:t>
      </w:r>
      <w:r>
        <w:t xml:space="preserve">individual autonomy, equality and non-discrimination, respect for</w:t>
      </w:r>
      <w:r>
        <w:t xml:space="preserve"> </w:t>
      </w:r>
      <w:r>
        <w:t xml:space="preserve">privacy and personal data protection, transparency and oversight,</w:t>
      </w:r>
      <w:r>
        <w:t xml:space="preserve"> </w:t>
      </w:r>
      <w:r>
        <w:t xml:space="preserve">accountability and responsibility, reliability, and safe innovation.</w:t>
      </w:r>
    </w:p>
    <w:bookmarkEnd w:id="221"/>
    <w:bookmarkEnd w:id="222"/>
    <w:bookmarkStart w:id="227" w:name="united-states"/>
    <w:p>
      <w:pPr>
        <w:pStyle w:val="Heading2"/>
      </w:pPr>
      <w:r>
        <w:t xml:space="preserve">9.2 United States</w:t>
      </w:r>
    </w:p>
    <w:bookmarkStart w:id="223" w:name="federal-trade-commission-act-section-5"/>
    <w:p>
      <w:pPr>
        <w:pStyle w:val="Heading3"/>
      </w:pPr>
      <w:r>
        <w:t xml:space="preserve">9.2.1 Federal Trade Commission Act Section 5</w:t>
      </w:r>
    </w:p>
    <w:p>
      <w:pPr>
        <w:pStyle w:val="FirstParagraph"/>
      </w:pPr>
      <w:r>
        <w:t xml:space="preserve">Section 5 of the Federal Trade Commission Act, 15 U.S.C. § 45,</w:t>
      </w:r>
      <w:r>
        <w:t xml:space="preserve"> </w:t>
      </w:r>
      <w:r>
        <w:t xml:space="preserve">prohibits unfair or deceptive acts or practices in or affecting</w:t>
      </w:r>
      <w:r>
        <w:t xml:space="preserve"> </w:t>
      </w:r>
      <w:r>
        <w:t xml:space="preserve">commerce. The Federal Trade Commission has, in recent guidance and</w:t>
      </w:r>
      <w:r>
        <w:t xml:space="preserve"> </w:t>
      </w:r>
      <w:r>
        <w:t xml:space="preserve">enforcement actions, applied Section 5 to misrepresentations concerning</w:t>
      </w:r>
      <w:r>
        <w:t xml:space="preserve"> </w:t>
      </w:r>
      <w:r>
        <w:t xml:space="preserve">the provenance, authenticity, and origin of digital content.</w:t>
      </w:r>
    </w:p>
    <w:p>
      <w:pPr>
        <w:pStyle w:val="BodyText"/>
      </w:pPr>
      <w:r>
        <w:t xml:space="preserve">The Trust Identity Protocol is designed to supply a substantiated,</w:t>
      </w:r>
      <w:r>
        <w:t xml:space="preserve"> </w:t>
      </w:r>
      <w:r>
        <w:t xml:space="preserve">machine-verifiable claim concerning content provenance and operator</w:t>
      </w:r>
      <w:r>
        <w:t xml:space="preserve"> </w:t>
      </w:r>
      <w:r>
        <w:t xml:space="preserve">identity. Verification Providers issuing CTIDs and Node Operators</w:t>
      </w:r>
      <w:r>
        <w:t xml:space="preserve"> </w:t>
      </w:r>
      <w:r>
        <w:t xml:space="preserve">recording CNA-2.2 fingerprints are required by the accreditation</w:t>
      </w:r>
      <w:r>
        <w:t xml:space="preserve"> </w:t>
      </w:r>
      <w:r>
        <w:t xml:space="preserve">agreement and the Node Operator Agreement to ensure that the</w:t>
      </w:r>
      <w:r>
        <w:t xml:space="preserve"> </w:t>
      </w:r>
      <w:r>
        <w:t xml:space="preserve">representations they make about the content and identities to which the</w:t>
      </w:r>
      <w:r>
        <w:t xml:space="preserve"> </w:t>
      </w:r>
      <w:r>
        <w:t xml:space="preserve">protocol attaches are substantiated and not misleading. The semantics of</w:t>
      </w:r>
      <w:r>
        <w:t xml:space="preserve"> </w:t>
      </w:r>
      <w:r>
        <w:t xml:space="preserve">the Trust Score, the meaning of the Global Seal of Trust, and the</w:t>
      </w:r>
      <w:r>
        <w:t xml:space="preserve"> </w:t>
      </w:r>
      <w:r>
        <w:t xml:space="preserve">meaning of each Origin Code are documented normatively in this</w:t>
      </w:r>
      <w:r>
        <w:t xml:space="preserve"> </w:t>
      </w:r>
      <w:r>
        <w:t xml:space="preserve">whitepaper and in the canonical TIP Protocol Specification.</w:t>
      </w:r>
    </w:p>
    <w:p>
      <w:pPr>
        <w:pStyle w:val="BodyText"/>
      </w:pPr>
      <w:r>
        <w:t xml:space="preserve">The Trust Identity Protocol does not modify the substantive duties of</w:t>
      </w:r>
      <w:r>
        <w:t xml:space="preserve"> </w:t>
      </w:r>
      <w:r>
        <w:t xml:space="preserve">platforms or publishers under Section 5. A platform or publisher using</w:t>
      </w:r>
      <w:r>
        <w:t xml:space="preserve"> </w:t>
      </w:r>
      <w:r>
        <w:t xml:space="preserve">TIP to present a Trust Score or a Global Seal of Trust to a user is</w:t>
      </w:r>
      <w:r>
        <w:t xml:space="preserve"> </w:t>
      </w:r>
      <w:r>
        <w:t xml:space="preserve">responsible for the accuracy and non-deceptive presentation of such</w:t>
      </w:r>
      <w:r>
        <w:t xml:space="preserve"> </w:t>
      </w:r>
      <w:r>
        <w:t xml:space="preserve">information to that user in the platform’s own user interface.</w:t>
      </w:r>
    </w:p>
    <w:bookmarkEnd w:id="223"/>
    <w:bookmarkStart w:id="224" w:name="nist-ai-risk-management-framework"/>
    <w:p>
      <w:pPr>
        <w:pStyle w:val="Heading3"/>
      </w:pPr>
      <w:r>
        <w:t xml:space="preserve">9.2.2 NIST AI Risk Management Framework</w:t>
      </w:r>
    </w:p>
    <w:p>
      <w:pPr>
        <w:pStyle w:val="FirstParagraph"/>
      </w:pPr>
      <w:r>
        <w:t xml:space="preserve">The National Institute of Standards and Technology AI Risk Management</w:t>
      </w:r>
      <w:r>
        <w:t xml:space="preserve"> </w:t>
      </w:r>
      <w:r>
        <w:t xml:space="preserve">Framework Version 1.0 (NIST AI 100-1, January 2023) and its companion</w:t>
      </w:r>
      <w:r>
        <w:t xml:space="preserve"> </w:t>
      </w:r>
      <w:r>
        <w:t xml:space="preserve">Playbook articulate the GOVERN-MAP-MEASURE-MANAGE functions and an</w:t>
      </w:r>
      <w:r>
        <w:t xml:space="preserve"> </w:t>
      </w:r>
      <w:r>
        <w:t xml:space="preserve">extensive catalog of categories and subcategories applicable to the</w:t>
      </w:r>
      <w:r>
        <w:t xml:space="preserve"> </w:t>
      </w:r>
      <w:r>
        <w:t xml:space="preserve">lifecycle of AI systems and to the institutional context in which they</w:t>
      </w:r>
      <w:r>
        <w:t xml:space="preserve"> </w:t>
      </w:r>
      <w:r>
        <w:t xml:space="preserve">operate. The compliance crosswalk in Appendix E maps the controls of the</w:t>
      </w:r>
      <w:r>
        <w:t xml:space="preserve"> </w:t>
      </w:r>
      <w:r>
        <w:t xml:space="preserve">Trust Identity Protocol to the categories and subcategories of the NIST</w:t>
      </w:r>
      <w:r>
        <w:t xml:space="preserve"> </w:t>
      </w:r>
      <w:r>
        <w:t xml:space="preserve">AI RMF.</w:t>
      </w:r>
    </w:p>
    <w:bookmarkEnd w:id="224"/>
    <w:bookmarkStart w:id="225" w:name="X48b16985569e782e92134e93265175481f88dd8"/>
    <w:p>
      <w:pPr>
        <w:pStyle w:val="Heading3"/>
      </w:pPr>
      <w:r>
        <w:t xml:space="preserve">9.2.3 Executive Order 14110 and successor instruments</w:t>
      </w:r>
    </w:p>
    <w:p>
      <w:pPr>
        <w:pStyle w:val="FirstParagraph"/>
      </w:pPr>
      <w:r>
        <w:t xml:space="preserve">Executive Order 14110 of 30 October 2023 on the Safe, Secure, and</w:t>
      </w:r>
      <w:r>
        <w:t xml:space="preserve"> </w:t>
      </w:r>
      <w:r>
        <w:t xml:space="preserve">Trustworthy Development and Use of Artificial Intelligence, and the</w:t>
      </w:r>
      <w:r>
        <w:t xml:space="preserve"> </w:t>
      </w:r>
      <w:r>
        <w:t xml:space="preserve">instruments issued under it (including the Office of Management and</w:t>
      </w:r>
      <w:r>
        <w:t xml:space="preserve"> </w:t>
      </w:r>
      <w:r>
        <w:t xml:space="preserve">Budget Memorandum M-24-10), establish the federal posture toward AI</w:t>
      </w:r>
      <w:r>
        <w:t xml:space="preserve"> </w:t>
      </w:r>
      <w:r>
        <w:t xml:space="preserve">provenance, including the obligation of federal agencies to use, where</w:t>
      </w:r>
      <w:r>
        <w:t xml:space="preserve"> </w:t>
      </w:r>
      <w:r>
        <w:t xml:space="preserve">feasible, content provenance and authentication tools. The Trust</w:t>
      </w:r>
      <w:r>
        <w:t xml:space="preserve"> </w:t>
      </w:r>
      <w:r>
        <w:t xml:space="preserve">Identity Protocol is positioned to be a content provenance and</w:t>
      </w:r>
      <w:r>
        <w:t xml:space="preserve"> </w:t>
      </w:r>
      <w:r>
        <w:t xml:space="preserve">authentication tool for the purposes of those instruments.</w:t>
      </w:r>
    </w:p>
    <w:bookmarkEnd w:id="225"/>
    <w:bookmarkStart w:id="226" w:name="state-law-mosaic"/>
    <w:p>
      <w:pPr>
        <w:pStyle w:val="Heading3"/>
      </w:pPr>
      <w:r>
        <w:t xml:space="preserve">9.2.4 State law mosaic</w:t>
      </w:r>
    </w:p>
    <w:p>
      <w:pPr>
        <w:pStyle w:val="FirstParagraph"/>
      </w:pPr>
      <w:r>
        <w:t xml:space="preserve">State law in the United States imposes obligations on biometric data</w:t>
      </w:r>
      <w:r>
        <w:t xml:space="preserve"> </w:t>
      </w:r>
      <w:r>
        <w:t xml:space="preserve">collection, AI content disclosure, and consumer privacy. Verification</w:t>
      </w:r>
      <w:r>
        <w:t xml:space="preserve"> </w:t>
      </w:r>
      <w:r>
        <w:t xml:space="preserve">Providers and Node Operators operating in the United States are</w:t>
      </w:r>
      <w:r>
        <w:t xml:space="preserve"> </w:t>
      </w:r>
      <w:r>
        <w:t xml:space="preserve">responsible for assessing the application of these statutes to their own</w:t>
      </w:r>
      <w:r>
        <w:t xml:space="preserve"> </w:t>
      </w:r>
      <w:r>
        <w:t xml:space="preserve">activities. The following are non-exhaustive examples relevant to the</w:t>
      </w:r>
      <w:r>
        <w:t xml:space="preserve"> </w:t>
      </w:r>
      <w:r>
        <w:t xml:space="preserve">Trust Identity Protocol.</w:t>
      </w:r>
    </w:p>
    <w:p>
      <w:pPr>
        <w:pStyle w:val="BodyText"/>
      </w:pPr>
      <w:r>
        <w:rPr>
          <w:b/>
          <w:bCs/>
        </w:rPr>
        <w:t xml:space="preserve">California.</w:t>
      </w:r>
      <w:r>
        <w:t xml:space="preserve"> </w:t>
      </w:r>
      <w:r>
        <w:t xml:space="preserve">The California AI Transparency Act</w:t>
      </w:r>
      <w:r>
        <w:t xml:space="preserve"> </w:t>
      </w:r>
      <w:r>
        <w:t xml:space="preserve">(Senate Bill 942, 2024) and the California AI Content Provenance</w:t>
      </w:r>
      <w:r>
        <w:t xml:space="preserve"> </w:t>
      </w:r>
      <w:r>
        <w:t xml:space="preserve">legislation (Assembly Bill 853, 2024) require certain large online</w:t>
      </w:r>
      <w:r>
        <w:t xml:space="preserve"> </w:t>
      </w:r>
      <w:r>
        <w:t xml:space="preserve">platforms and providers of generative AI systems to apply latent</w:t>
      </w:r>
      <w:r>
        <w:t xml:space="preserve"> </w:t>
      </w:r>
      <w:r>
        <w:t xml:space="preserve">disclosures and provenance metadata to AI-generated content and to make</w:t>
      </w:r>
      <w:r>
        <w:t xml:space="preserve"> </w:t>
      </w:r>
      <w:r>
        <w:t xml:space="preserve">a provenance reading tool available. The CNA-2.2 fingerprint, the Origin</w:t>
      </w:r>
      <w:r>
        <w:t xml:space="preserve"> </w:t>
      </w:r>
      <w:r>
        <w:t xml:space="preserve">Code system, and the TIP-CONTENT record supply provenance metadata in</w:t>
      </w:r>
      <w:r>
        <w:t xml:space="preserve"> </w:t>
      </w:r>
      <w:r>
        <w:t xml:space="preserve">machine-readable form suitable for use by platforms subject to these</w:t>
      </w:r>
      <w:r>
        <w:t xml:space="preserve"> </w:t>
      </w:r>
      <w:r>
        <w:t xml:space="preserve">statutes.</w:t>
      </w:r>
    </w:p>
    <w:p>
      <w:pPr>
        <w:pStyle w:val="BodyText"/>
      </w:pPr>
      <w:r>
        <w:rPr>
          <w:b/>
          <w:bCs/>
        </w:rPr>
        <w:t xml:space="preserve">Illinois, Texas, Washington.</w:t>
      </w:r>
      <w:r>
        <w:t xml:space="preserve"> </w:t>
      </w:r>
      <w:r>
        <w:t xml:space="preserve">The Illinois Biometric</w:t>
      </w:r>
      <w:r>
        <w:t xml:space="preserve"> </w:t>
      </w:r>
      <w:r>
        <w:t xml:space="preserve">Information Privacy Act (740 ILCS 14), the Texas Capture or Use of</w:t>
      </w:r>
      <w:r>
        <w:t xml:space="preserve"> </w:t>
      </w:r>
      <w:r>
        <w:t xml:space="preserve">Biometric Identifier Act (Tex. Bus. &amp; Com. Code § 503.001), and the</w:t>
      </w:r>
      <w:r>
        <w:t xml:space="preserve"> </w:t>
      </w:r>
      <w:r>
        <w:t xml:space="preserve">Washington statute on biometric identifiers (RCW 19.375) impose</w:t>
      </w:r>
      <w:r>
        <w:t xml:space="preserve"> </w:t>
      </w:r>
      <w:r>
        <w:t xml:space="preserve">obligations on the collection, storage, and use of biometric</w:t>
      </w:r>
      <w:r>
        <w:t xml:space="preserve"> </w:t>
      </w:r>
      <w:r>
        <w:t xml:space="preserve">identifiers. The architectural decision in TIP-ID to retain biometric</w:t>
      </w:r>
      <w:r>
        <w:t xml:space="preserve"> </w:t>
      </w:r>
      <w:r>
        <w:t xml:space="preserve">templates on the user’s device, transmitting only the public key of a</w:t>
      </w:r>
      <w:r>
        <w:t xml:space="preserve"> </w:t>
      </w:r>
      <w:r>
        <w:t xml:space="preserve">WebAuthn credential to the Verification Provider, materially reduces the</w:t>
      </w:r>
      <w:r>
        <w:t xml:space="preserve"> </w:t>
      </w:r>
      <w:r>
        <w:t xml:space="preserve">scope of biometric processing by Verification Providers under these</w:t>
      </w:r>
      <w:r>
        <w:t xml:space="preserve"> </w:t>
      </w:r>
      <w:r>
        <w:t xml:space="preserve">statutes.</w:t>
      </w:r>
    </w:p>
    <w:p>
      <w:pPr>
        <w:pStyle w:val="BodyText"/>
      </w:pPr>
      <w:r>
        <w:rPr>
          <w:b/>
          <w:bCs/>
        </w:rPr>
        <w:t xml:space="preserve">Colorado, New York City.</w:t>
      </w:r>
      <w:r>
        <w:t xml:space="preserve"> </w:t>
      </w:r>
      <w:r>
        <w:t xml:space="preserve">Statutes including the</w:t>
      </w:r>
      <w:r>
        <w:t xml:space="preserve"> </w:t>
      </w:r>
      <w:r>
        <w:t xml:space="preserve">Colorado AI Act (Senate Bill 24-205) and New York City Local Law</w:t>
      </w:r>
      <w:r>
        <w:t xml:space="preserve"> </w:t>
      </w:r>
      <w:r>
        <w:t xml:space="preserve">144 of 2021 (Automated Employment Decision Tools) impose obligations</w:t>
      </w:r>
      <w:r>
        <w:t xml:space="preserve"> </w:t>
      </w:r>
      <w:r>
        <w:t xml:space="preserve">on developers and deployers of certain AI systems. The Trust Identity</w:t>
      </w:r>
      <w:r>
        <w:t xml:space="preserve"> </w:t>
      </w:r>
      <w:r>
        <w:t xml:space="preserve">Protocol is not a high-risk AI system within the meaning of these</w:t>
      </w:r>
      <w:r>
        <w:t xml:space="preserve"> </w:t>
      </w:r>
      <w:r>
        <w:t xml:space="preserve">statutes; Verification Providers and Node Operators are responsible for</w:t>
      </w:r>
      <w:r>
        <w:t xml:space="preserve"> </w:t>
      </w:r>
      <w:r>
        <w:t xml:space="preserve">assessing the application of these statutes to their own activities.</w:t>
      </w:r>
    </w:p>
    <w:bookmarkEnd w:id="226"/>
    <w:bookmarkEnd w:id="227"/>
    <w:bookmarkStart w:id="230" w:name="united-kingdom"/>
    <w:p>
      <w:pPr>
        <w:pStyle w:val="Heading2"/>
      </w:pPr>
      <w:r>
        <w:t xml:space="preserve">9.3 United Kingdom</w:t>
      </w:r>
    </w:p>
    <w:bookmarkStart w:id="228" w:name="online-safety-act-2023"/>
    <w:p>
      <w:pPr>
        <w:pStyle w:val="Heading3"/>
      </w:pPr>
      <w:r>
        <w:t xml:space="preserve">9.3.1 Online Safety Act 2023</w:t>
      </w:r>
    </w:p>
    <w:p>
      <w:pPr>
        <w:pStyle w:val="FirstParagraph"/>
      </w:pPr>
      <w:r>
        <w:t xml:space="preserve">The Online Safety Act 2023 imposes duties on providers of</w:t>
      </w:r>
      <w:r>
        <w:t xml:space="preserve"> </w:t>
      </w:r>
      <w:r>
        <w:t xml:space="preserve">user-to-user services and of search services in respect of illegal</w:t>
      </w:r>
      <w:r>
        <w:t xml:space="preserve"> </w:t>
      </w:r>
      <w:r>
        <w:t xml:space="preserve">content, content harmful to children, and content involving particular</w:t>
      </w:r>
      <w:r>
        <w:t xml:space="preserve"> </w:t>
      </w:r>
      <w:r>
        <w:t xml:space="preserve">forms of harm. Section 12 (and the accompanying age-assurance codes of</w:t>
      </w:r>
      <w:r>
        <w:t xml:space="preserve"> </w:t>
      </w:r>
      <w:r>
        <w:t xml:space="preserve">practice issued by Ofcom) requires providers of services likely to be</w:t>
      </w:r>
      <w:r>
        <w:t xml:space="preserve"> </w:t>
      </w:r>
      <w:r>
        <w:t xml:space="preserve">accessed by children to implement age-assurance measures.</w:t>
      </w:r>
    </w:p>
    <w:p>
      <w:pPr>
        <w:pStyle w:val="BodyText"/>
      </w:pPr>
      <w:r>
        <w:t xml:space="preserve">A CTID issued by a Verification Provider may carry an optional age</w:t>
      </w:r>
      <w:r>
        <w:t xml:space="preserve"> </w:t>
      </w:r>
      <w:r>
        <w:t xml:space="preserve">proof attribute, supplied without disclosing the underlying birth date</w:t>
      </w:r>
      <w:r>
        <w:t xml:space="preserve"> </w:t>
      </w:r>
      <w:r>
        <w:t xml:space="preserve">or identity document, in conformance with privacy-preserving age</w:t>
      </w:r>
      <w:r>
        <w:t xml:space="preserve"> </w:t>
      </w:r>
      <w:r>
        <w:t xml:space="preserve">assurance principles. The protocol does not require any provider of</w:t>
      </w:r>
      <w:r>
        <w:t xml:space="preserve"> </w:t>
      </w:r>
      <w:r>
        <w:t xml:space="preserve">online services to use age proof attributes from a CTID, but supplies</w:t>
      </w:r>
      <w:r>
        <w:t xml:space="preserve"> </w:t>
      </w:r>
      <w:r>
        <w:t xml:space="preserve">the technical mechanism by which such providers may, if they elect, meet</w:t>
      </w:r>
      <w:r>
        <w:t xml:space="preserve"> </w:t>
      </w:r>
      <w:r>
        <w:t xml:space="preserve">their Section 12 duties using a privacy-preserving mechanism.</w:t>
      </w:r>
    </w:p>
    <w:bookmarkEnd w:id="228"/>
    <w:bookmarkStart w:id="229" w:name="Xdd925e8174bc184d568b23e18657b812ca8708a"/>
    <w:p>
      <w:pPr>
        <w:pStyle w:val="Heading3"/>
      </w:pPr>
      <w:r>
        <w:t xml:space="preserve">9.3.2 United Kingdom General Data Protection Regulation and Information Commissioner’s Office guidance</w:t>
      </w:r>
    </w:p>
    <w:p>
      <w:pPr>
        <w:pStyle w:val="FirstParagraph"/>
      </w:pPr>
      <w:r>
        <w:t xml:space="preserve">The United Kingdom General Data Protection Regulation, read together</w:t>
      </w:r>
      <w:r>
        <w:t xml:space="preserve"> </w:t>
      </w:r>
      <w:r>
        <w:t xml:space="preserve">with the Data Protection Act 2018, applies to the processing of personal</w:t>
      </w:r>
      <w:r>
        <w:t xml:space="preserve"> </w:t>
      </w:r>
      <w:r>
        <w:t xml:space="preserve">data of data subjects in the United Kingdom. The architectural</w:t>
      </w:r>
      <w:r>
        <w:t xml:space="preserve"> </w:t>
      </w:r>
      <w:r>
        <w:t xml:space="preserve">commitments described in Section 9.1.2 (lawful basis, special category</w:t>
      </w:r>
      <w:r>
        <w:t xml:space="preserve"> </w:t>
      </w:r>
      <w:r>
        <w:t xml:space="preserve">data, right to erasure, automated decision-making, impact assessment,</w:t>
      </w:r>
      <w:r>
        <w:t xml:space="preserve"> </w:t>
      </w:r>
      <w:r>
        <w:t xml:space="preserve">cross-border transfers) apply analogously to processing within the scope</w:t>
      </w:r>
      <w:r>
        <w:t xml:space="preserve"> </w:t>
      </w:r>
      <w:r>
        <w:t xml:space="preserve">of the United Kingdom General Data Protection Regulation, subject to the</w:t>
      </w:r>
      <w:r>
        <w:t xml:space="preserve"> </w:t>
      </w:r>
      <w:r>
        <w:t xml:space="preserve">differences in the United Kingdom regime including the United Kingdom</w:t>
      </w:r>
      <w:r>
        <w:t xml:space="preserve"> </w:t>
      </w:r>
      <w:r>
        <w:t xml:space="preserve">adequacy framework for cross-border transfers.</w:t>
      </w:r>
    </w:p>
    <w:bookmarkEnd w:id="229"/>
    <w:bookmarkEnd w:id="230"/>
    <w:bookmarkStart w:id="231" w:name="new-zealand-privacy-act-2020"/>
    <w:p>
      <w:pPr>
        <w:pStyle w:val="Heading2"/>
      </w:pPr>
      <w:r>
        <w:t xml:space="preserve">9.4 New Zealand, Privacy Act 2020</w:t>
      </w:r>
    </w:p>
    <w:p>
      <w:pPr>
        <w:pStyle w:val="FirstParagraph"/>
      </w:pPr>
      <w:r>
        <w:t xml:space="preserve">The Privacy Act 2020 (Act No. 31 of 2020) and the Information Privacy</w:t>
      </w:r>
      <w:r>
        <w:t xml:space="preserve"> </w:t>
      </w:r>
      <w:r>
        <w:t xml:space="preserve">Principles (IPPs) under that Act apply to the collection, use,</w:t>
      </w:r>
      <w:r>
        <w:t xml:space="preserve"> </w:t>
      </w:r>
      <w:r>
        <w:t xml:space="preserve">disclosure, and storage of personal information by agencies in New</w:t>
      </w:r>
      <w:r>
        <w:t xml:space="preserve"> </w:t>
      </w:r>
      <w:r>
        <w:t xml:space="preserve">Zealand. IPP 12 (cross-border disclosure) imposes obligations on the</w:t>
      </w:r>
      <w:r>
        <w:t xml:space="preserve"> </w:t>
      </w:r>
      <w:r>
        <w:t xml:space="preserve">disclosure of personal information to a foreign person or entity. The</w:t>
      </w:r>
      <w:r>
        <w:t xml:space="preserve"> </w:t>
      </w:r>
      <w:r>
        <w:t xml:space="preserve">Part 6, Subpart 1 notifiable privacy breach rules require notification</w:t>
      </w:r>
      <w:r>
        <w:t xml:space="preserve"> </w:t>
      </w:r>
      <w:r>
        <w:t xml:space="preserve">of certain privacy breaches to the Office of the Privacy Commissioner</w:t>
      </w:r>
      <w:r>
        <w:t xml:space="preserve"> </w:t>
      </w:r>
      <w:r>
        <w:t xml:space="preserve">and to affected individuals.</w:t>
      </w:r>
    </w:p>
    <w:p>
      <w:pPr>
        <w:pStyle w:val="BodyText"/>
      </w:pPr>
      <w:r>
        <w:t xml:space="preserve">The Trust Identity Protocol architecture is consistent with the IPPs.</w:t>
      </w:r>
      <w:r>
        <w:t xml:space="preserve"> </w:t>
      </w:r>
      <w:r>
        <w:t xml:space="preserve">Where a Verification Provider is established in New Zealand or processes</w:t>
      </w:r>
      <w:r>
        <w:t xml:space="preserve"> </w:t>
      </w:r>
      <w:r>
        <w:t xml:space="preserve">personal information of natural persons in New Zealand, the Verification</w:t>
      </w:r>
      <w:r>
        <w:t xml:space="preserve"> </w:t>
      </w:r>
      <w:r>
        <w:t xml:space="preserve">Provider is required by the accreditation agreement to comply with the</w:t>
      </w:r>
      <w:r>
        <w:t xml:space="preserve"> </w:t>
      </w:r>
      <w:r>
        <w:t xml:space="preserve">Privacy Act 2020, to designate a Privacy Officer where required, and to</w:t>
      </w:r>
      <w:r>
        <w:t xml:space="preserve"> </w:t>
      </w:r>
      <w:r>
        <w:t xml:space="preserve">notify privacy breaches in accordance with Part 6, Subpart 1.</w:t>
      </w:r>
    </w:p>
    <w:bookmarkEnd w:id="231"/>
    <w:bookmarkStart w:id="232" w:name="X61913574887edea2d7999ac9976e5631a7227b8"/>
    <w:p>
      <w:pPr>
        <w:pStyle w:val="Heading2"/>
      </w:pPr>
      <w:r>
        <w:t xml:space="preserve">9.5 India, Digital Personal Data Protection Act 2023</w:t>
      </w:r>
    </w:p>
    <w:p>
      <w:pPr>
        <w:pStyle w:val="FirstParagraph"/>
      </w:pPr>
      <w:r>
        <w:t xml:space="preserve">The Digital Personal Data Protection Act 2023 (Act No. 22 of 2023)</w:t>
      </w:r>
      <w:r>
        <w:t xml:space="preserve"> </w:t>
      </w:r>
      <w:r>
        <w:t xml:space="preserve">establishes the framework for the processing of digital personal data in</w:t>
      </w:r>
      <w:r>
        <w:t xml:space="preserve"> </w:t>
      </w:r>
      <w:r>
        <w:t xml:space="preserve">India. The Act requires consent of the data principal for processing,</w:t>
      </w:r>
      <w:r>
        <w:t xml:space="preserve"> </w:t>
      </w:r>
      <w:r>
        <w:t xml:space="preserve">subject to enumerated exceptions, and imposes obligations on data</w:t>
      </w:r>
      <w:r>
        <w:t xml:space="preserve"> </w:t>
      </w:r>
      <w:r>
        <w:t xml:space="preserve">fiduciaries including reasonable security safeguards, notification of</w:t>
      </w:r>
      <w:r>
        <w:t xml:space="preserve"> </w:t>
      </w:r>
      <w:r>
        <w:t xml:space="preserve">personal data breaches, and the appointment of a Data Protection Officer</w:t>
      </w:r>
      <w:r>
        <w:t xml:space="preserve"> </w:t>
      </w:r>
      <w:r>
        <w:t xml:space="preserve">for significant data fiduciaries.</w:t>
      </w:r>
    </w:p>
    <w:p>
      <w:pPr>
        <w:pStyle w:val="BodyText"/>
      </w:pPr>
      <w:r>
        <w:t xml:space="preserve">The Trust Identity Protocol is consistent with the consent-based</w:t>
      </w:r>
      <w:r>
        <w:t xml:space="preserve"> </w:t>
      </w:r>
      <w:r>
        <w:t xml:space="preserve">framework of the Act and is designed to interoperate with the Data</w:t>
      </w:r>
      <w:r>
        <w:t xml:space="preserve"> </w:t>
      </w:r>
      <w:r>
        <w:t xml:space="preserve">Empowerment and Protection Architecture consent manager pattern through</w:t>
      </w:r>
      <w:r>
        <w:t xml:space="preserve"> </w:t>
      </w:r>
      <w:r>
        <w:t xml:space="preserve">the optional issuance of consent receipts attached to CNA-2.2</w:t>
      </w:r>
      <w:r>
        <w:t xml:space="preserve"> </w:t>
      </w:r>
      <w:r>
        <w:t xml:space="preserve">fingerprints. Verification Providers operating in India are required by</w:t>
      </w:r>
      <w:r>
        <w:t xml:space="preserve"> </w:t>
      </w:r>
      <w:r>
        <w:t xml:space="preserve">the accreditation agreement to comply with the Act and with the rules</w:t>
      </w:r>
      <w:r>
        <w:t xml:space="preserve"> </w:t>
      </w:r>
      <w:r>
        <w:t xml:space="preserve">issued under it.</w:t>
      </w:r>
    </w:p>
    <w:bookmarkEnd w:id="232"/>
    <w:bookmarkStart w:id="233" w:name="oecd-ai-principles"/>
    <w:p>
      <w:pPr>
        <w:pStyle w:val="Heading2"/>
      </w:pPr>
      <w:r>
        <w:t xml:space="preserve">9.6 OECD AI Principles</w:t>
      </w:r>
    </w:p>
    <w:p>
      <w:pPr>
        <w:pStyle w:val="FirstParagraph"/>
      </w:pPr>
      <w:r>
        <w:t xml:space="preserve">The OECD Recommendation of the Council on Artificial Intelligence,</w:t>
      </w:r>
      <w:r>
        <w:t xml:space="preserve"> </w:t>
      </w:r>
      <w:r>
        <w:t xml:space="preserve">adopted on 22 May 2019 and updated on 3 May 2024, sets out five</w:t>
      </w:r>
      <w:r>
        <w:t xml:space="preserve"> </w:t>
      </w:r>
      <w:r>
        <w:t xml:space="preserve">values-based principles for the responsible stewardship of trustworthy</w:t>
      </w:r>
      <w:r>
        <w:t xml:space="preserve"> </w:t>
      </w:r>
      <w:r>
        <w:t xml:space="preserve">AI: inclusive growth, sustainable development and well-being; respect</w:t>
      </w:r>
      <w:r>
        <w:t xml:space="preserve"> </w:t>
      </w:r>
      <w:r>
        <w:t xml:space="preserve">for the rule of law, human rights and democratic values, including</w:t>
      </w:r>
      <w:r>
        <w:t xml:space="preserve"> </w:t>
      </w:r>
      <w:r>
        <w:t xml:space="preserve">fairness and privacy; transparency and explainability; robustness,</w:t>
      </w:r>
      <w:r>
        <w:t xml:space="preserve"> </w:t>
      </w:r>
      <w:r>
        <w:t xml:space="preserve">security and safety; and accountability. The Trust Identity Protocol is</w:t>
      </w:r>
      <w:r>
        <w:t xml:space="preserve"> </w:t>
      </w:r>
      <w:r>
        <w:t xml:space="preserve">designed to support each of these principles. The compliance crosswalk</w:t>
      </w:r>
      <w:r>
        <w:t xml:space="preserve"> </w:t>
      </w:r>
      <w:r>
        <w:t xml:space="preserve">in Appendix E maps the controls of the protocol to each principle.</w:t>
      </w:r>
    </w:p>
    <w:bookmarkEnd w:id="233"/>
    <w:bookmarkStart w:id="234" w:name="standards-organization-engagement"/>
    <w:p>
      <w:pPr>
        <w:pStyle w:val="Heading2"/>
      </w:pPr>
      <w:r>
        <w:t xml:space="preserve">9.7 Standards organization engagement</w:t>
      </w:r>
    </w:p>
    <w:p>
      <w:pPr>
        <w:pStyle w:val="FirstParagraph"/>
      </w:pPr>
      <w:r>
        <w:t xml:space="preserve">The AI Lab, through the AI Trust Council, will pursue engagement with</w:t>
      </w:r>
      <w:r>
        <w:t xml:space="preserve"> </w:t>
      </w:r>
      <w:r>
        <w:t xml:space="preserve">the following standards organizations concerning the development of</w:t>
      </w:r>
      <w:r>
        <w:t xml:space="preserve"> </w:t>
      </w:r>
      <w:r>
        <w:t xml:space="preserve">international standards relevant to the Trust Identity Protocol.</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Standards organization</w:t>
            </w:r>
          </w:p>
        </w:tc>
        <w:tc>
          <w:tcPr/>
          <w:p>
            <w:pPr>
              <w:pStyle w:val="Compact"/>
            </w:pPr>
            <w:r>
              <w:t xml:space="preserve">Workstream of interest</w:t>
            </w:r>
          </w:p>
        </w:tc>
      </w:tr>
      <w:tr>
        <w:tc>
          <w:tcPr/>
          <w:p>
            <w:pPr>
              <w:pStyle w:val="Compact"/>
            </w:pPr>
            <w:r>
              <w:t xml:space="preserve">ISO/IEC JTC 1/SC 27 (International Organization for Standardization, Joint Technical Committee 1, Subcommittee 27)</w:t>
            </w:r>
          </w:p>
        </w:tc>
        <w:tc>
          <w:tcPr/>
          <w:p>
            <w:pPr>
              <w:pStyle w:val="Compact"/>
            </w:pPr>
            <w:r>
              <w:t xml:space="preserve">Information security, cybersecurity, and privacy protection</w:t>
            </w:r>
          </w:p>
        </w:tc>
      </w:tr>
      <w:tr>
        <w:tc>
          <w:tcPr/>
          <w:p>
            <w:pPr>
              <w:pStyle w:val="Compact"/>
            </w:pPr>
            <w:r>
              <w:t xml:space="preserve">World Wide Web Consortium (W3C)</w:t>
            </w:r>
          </w:p>
        </w:tc>
        <w:tc>
          <w:tcPr/>
          <w:p>
            <w:pPr>
              <w:pStyle w:val="Compact"/>
            </w:pPr>
            <w:r>
              <w:t xml:space="preserve">Verifiable Credentials, Decentralized Identifiers, Content Authenticity</w:t>
            </w:r>
          </w:p>
        </w:tc>
      </w:tr>
      <w:tr>
        <w:tc>
          <w:tcPr/>
          <w:p>
            <w:pPr>
              <w:pStyle w:val="Compact"/>
            </w:pPr>
            <w:r>
              <w:t xml:space="preserve">Internet Engineering Task Force (IETF)</w:t>
            </w:r>
          </w:p>
        </w:tc>
        <w:tc>
          <w:tcPr/>
          <w:p>
            <w:pPr>
              <w:pStyle w:val="Compact"/>
            </w:pPr>
            <w:r>
              <w:t xml:space="preserve">Cryptography (CFRG), web authentication, transport security</w:t>
            </w:r>
          </w:p>
        </w:tc>
      </w:tr>
      <w:tr>
        <w:tc>
          <w:tcPr/>
          <w:p>
            <w:pPr>
              <w:pStyle w:val="Compact"/>
            </w:pPr>
            <w:r>
              <w:t xml:space="preserve">European Telecommunications Standards Institute (ETSI)</w:t>
            </w:r>
          </w:p>
        </w:tc>
        <w:tc>
          <w:tcPr/>
          <w:p>
            <w:pPr>
              <w:pStyle w:val="Compact"/>
            </w:pPr>
            <w:r>
              <w:t xml:space="preserve">Electronic Signatures and Infrastructures, Quantum-Safe Cryptography</w:t>
            </w:r>
          </w:p>
        </w:tc>
      </w:tr>
      <w:tr>
        <w:tc>
          <w:tcPr/>
          <w:p>
            <w:pPr>
              <w:pStyle w:val="Compact"/>
            </w:pPr>
            <w:r>
              <w:t xml:space="preserve">National Institute of Standards and Technology (NIST)</w:t>
            </w:r>
          </w:p>
        </w:tc>
        <w:tc>
          <w:tcPr/>
          <w:p>
            <w:pPr>
              <w:pStyle w:val="Compact"/>
            </w:pPr>
            <w:r>
              <w:t xml:space="preserve">Post-quantum cryptography standardization, AI Risk Management Framework, Cybersecurity Framework</w:t>
            </w:r>
          </w:p>
        </w:tc>
      </w:tr>
      <w:tr>
        <w:tc>
          <w:tcPr/>
          <w:p>
            <w:pPr>
              <w:pStyle w:val="Compact"/>
            </w:pPr>
            <w:r>
              <w:t xml:space="preserve">International Press Telecommunications Council (IPTC)</w:t>
            </w:r>
          </w:p>
        </w:tc>
        <w:tc>
          <w:tcPr/>
          <w:p>
            <w:pPr>
              <w:pStyle w:val="Compact"/>
            </w:pPr>
            <w:r>
              <w:t xml:space="preserve">Content metadata standards for journalism</w:t>
            </w:r>
          </w:p>
        </w:tc>
      </w:tr>
      <w:tr>
        <w:tc>
          <w:tcPr/>
          <w:p>
            <w:pPr>
              <w:pStyle w:val="Compact"/>
            </w:pPr>
            <w:r>
              <w:t xml:space="preserve">Coalition for Content Provenance and Authenticity (C2PA)</w:t>
            </w:r>
          </w:p>
        </w:tc>
        <w:tc>
          <w:tcPr/>
          <w:p>
            <w:pPr>
              <w:pStyle w:val="Compact"/>
            </w:pPr>
            <w:r>
              <w:t xml:space="preserve">Interoperability with C2PA manifests where the publisher elects to publish both</w:t>
            </w:r>
          </w:p>
        </w:tc>
      </w:tr>
    </w:tbl>
    <w:bookmarkEnd w:id="234"/>
    <w:bookmarkStart w:id="235" w:name="export-control-posture"/>
    <w:p>
      <w:pPr>
        <w:pStyle w:val="Heading2"/>
      </w:pPr>
      <w:r>
        <w:t xml:space="preserve">9.8 Export control posture</w:t>
      </w:r>
    </w:p>
    <w:p>
      <w:pPr>
        <w:pStyle w:val="FirstParagraph"/>
      </w:pPr>
      <w:r>
        <w:t xml:space="preserve">Cryptographic implementations within the Trust Identity Protocol are</w:t>
      </w:r>
      <w:r>
        <w:t xml:space="preserve"> </w:t>
      </w:r>
      <w:r>
        <w:t xml:space="preserve">designed to qualify, where source code is made publicly available, for</w:t>
      </w:r>
      <w:r>
        <w:t xml:space="preserve"> </w:t>
      </w:r>
      <w:r>
        <w:t xml:space="preserve">the publicly available source code exclusion under the Wassenaar</w:t>
      </w:r>
      <w:r>
        <w:t xml:space="preserve"> </w:t>
      </w:r>
      <w:r>
        <w:t xml:space="preserve">Arrangement General Software Note and the mass market exception under</w:t>
      </w:r>
      <w:r>
        <w:t xml:space="preserve"> </w:t>
      </w:r>
      <w:r>
        <w:t xml:space="preserve">United States Export Administration Regulations § 740.17. The AI Lab</w:t>
      </w:r>
      <w:r>
        <w:t xml:space="preserve"> </w:t>
      </w:r>
      <w:r>
        <w:t xml:space="preserve">files Commerce Control List classifications and notifications as</w:t>
      </w:r>
      <w:r>
        <w:t xml:space="preserve"> </w:t>
      </w:r>
      <w:r>
        <w:t xml:space="preserve">required by the United States Bureau of Industry and Security and</w:t>
      </w:r>
      <w:r>
        <w:t xml:space="preserve"> </w:t>
      </w:r>
      <w:r>
        <w:t xml:space="preserve">complies with the export control regimes of the jurisdictions in which</w:t>
      </w:r>
      <w:r>
        <w:t xml:space="preserve"> </w:t>
      </w:r>
      <w:r>
        <w:t xml:space="preserve">it operates.</w:t>
      </w:r>
    </w:p>
    <w:bookmarkEnd w:id="235"/>
    <w:bookmarkStart w:id="236" w:name="antitrust-posture"/>
    <w:p>
      <w:pPr>
        <w:pStyle w:val="Heading2"/>
      </w:pPr>
      <w:r>
        <w:t xml:space="preserve">9.9 Antitrust posture</w:t>
      </w:r>
    </w:p>
    <w:p>
      <w:pPr>
        <w:pStyle w:val="FirstParagraph"/>
      </w:pPr>
      <w:r>
        <w:t xml:space="preserve">The TIPCL-1.0 fee schedule set out in Part X is uniform across all</w:t>
      </w:r>
      <w:r>
        <w:t xml:space="preserve"> </w:t>
      </w:r>
      <w:r>
        <w:t xml:space="preserve">licensees within each tier, is published in advance, is not negotiated</w:t>
      </w:r>
      <w:r>
        <w:t xml:space="preserve"> </w:t>
      </w:r>
      <w:r>
        <w:t xml:space="preserve">on a per-licensee basis, and is not conditioned on any restriction</w:t>
      </w:r>
      <w:r>
        <w:t xml:space="preserve"> </w:t>
      </w:r>
      <w:r>
        <w:t xml:space="preserve">unrelated to the practice of the Trust Identity Protocol. The patent</w:t>
      </w:r>
      <w:r>
        <w:t xml:space="preserve"> </w:t>
      </w:r>
      <w:r>
        <w:t xml:space="preserve">license granted under TIPCL-1.0 Section 8 is royalty-free. The Apache</w:t>
      </w:r>
      <w:r>
        <w:t xml:space="preserve"> </w:t>
      </w:r>
      <w:r>
        <w:t xml:space="preserve">License 2.0 conversion provision establishes a fixed horizon at which</w:t>
      </w:r>
      <w:r>
        <w:t xml:space="preserve"> </w:t>
      </w:r>
      <w:r>
        <w:t xml:space="preserve">the protocol becomes available under a permissive open source license.</w:t>
      </w:r>
      <w:r>
        <w:t xml:space="preserve"> </w:t>
      </w:r>
      <w:r>
        <w:t xml:space="preserve">These features are designed to comply with the fair, reasonable, and</w:t>
      </w:r>
      <w:r>
        <w:t xml:space="preserve"> </w:t>
      </w:r>
      <w:r>
        <w:t xml:space="preserve">non-discriminatory principles applicable to licensing of standardized</w:t>
      </w:r>
      <w:r>
        <w:t xml:space="preserve"> </w:t>
      </w:r>
      <w:r>
        <w:t xml:space="preserve">technologies, and to mitigate antitrust risk associated with the</w:t>
      </w:r>
      <w:r>
        <w:t xml:space="preserve"> </w:t>
      </w:r>
      <w:r>
        <w:t xml:space="preserve">possible emergence of the protocol as a de facto standard.</w:t>
      </w:r>
    </w:p>
    <w:p>
      <w:r>
        <w:pict>
          <v:rect style="width:0;height:1.5pt" o:hralign="center" o:hrstd="t" o:hr="t"/>
        </w:pict>
      </w:r>
    </w:p>
    <w:p>
      <w:pPr>
        <w:pStyle w:val="FirstParagraph"/>
      </w:pPr>
      <w:r>
        <w:rPr>
          <w:b/>
          <w:bCs/>
        </w:rPr>
        <w:t xml:space="preserve">Contact The AI Lab regarding Regulatory</w:t>
      </w:r>
      <w:r>
        <w:rPr>
          <w:b/>
          <w:bCs/>
        </w:rPr>
        <w:t xml:space="preserve"> </w:t>
      </w:r>
      <w:r>
        <w:rPr>
          <w:b/>
          <w:bCs/>
        </w:rPr>
        <w:t xml:space="preserve">Alignment</w:t>
      </w:r>
    </w:p>
    <w:p>
      <w:pPr>
        <w:pStyle w:val="BodyText"/>
      </w:pPr>
      <w:r>
        <w:t xml:space="preserve">General Counsel:</w:t>
      </w:r>
      <w:r>
        <w:t xml:space="preserve"> </w:t>
      </w:r>
      <w:r>
        <w:rPr>
          <w:rStyle w:val="VerbatimChar"/>
        </w:rPr>
        <w:t xml:space="preserve">legal@theailab.org</w:t>
      </w:r>
      <w:r>
        <w:t xml:space="preserve"> </w:t>
      </w:r>
      <w:r>
        <w:t xml:space="preserve">AI Trust Council:</w:t>
      </w:r>
      <w:r>
        <w:t xml:space="preserve"> </w:t>
      </w:r>
      <w:r>
        <w:rPr>
          <w:rStyle w:val="VerbatimChar"/>
        </w:rPr>
        <w:t xml:space="preserve">council@theailab.org</w:t>
      </w:r>
      <w:r>
        <w:t xml:space="preserve"> </w:t>
      </w:r>
      <w:r>
        <w:t xml:space="preserve">Licensing:</w:t>
      </w:r>
      <w:r>
        <w:t xml:space="preserve"> </w:t>
      </w:r>
      <w:r>
        <w:rPr>
          <w:rStyle w:val="VerbatimChar"/>
        </w:rPr>
        <w:t xml:space="preserve">licensing@theailab.org</w:t>
      </w:r>
    </w:p>
    <w:p>
      <w:pPr>
        <w:pStyle w:val="BodyText"/>
      </w:pPr>
      <w:r>
        <w:t xml:space="preserve">The AI Lab Intelligence Unobscured, Inc. Wilmington, Delaware, United</w:t>
      </w:r>
      <w:r>
        <w:t xml:space="preserve"> </w:t>
      </w:r>
      <w:r>
        <w:t xml:space="preserve">States.</w:t>
      </w:r>
    </w:p>
    <w:bookmarkEnd w:id="236"/>
    <w:bookmarkEnd w:id="237"/>
    <w:bookmarkStart w:id="257" w:name="part-x-governance-and-licensing"/>
    <w:p>
      <w:pPr>
        <w:pStyle w:val="Heading1"/>
      </w:pPr>
      <w:r>
        <w:t xml:space="preserve">Part X: Governance and Licensing</w:t>
      </w:r>
    </w:p>
    <w:p>
      <w:pPr>
        <w:pStyle w:val="FirstParagraph"/>
      </w:pPr>
      <w:r>
        <w:t xml:space="preserve">This Part describes the legal and institutional architecture under</w:t>
      </w:r>
      <w:r>
        <w:t xml:space="preserve"> </w:t>
      </w:r>
      <w:r>
        <w:t xml:space="preserve">which the Trust Identity Protocol is published, evolved, licensed, and</w:t>
      </w:r>
      <w:r>
        <w:t xml:space="preserve"> </w:t>
      </w:r>
      <w:r>
        <w:t xml:space="preserve">enforced. The technical layers described in Parts III through VIII</w:t>
      </w:r>
      <w:r>
        <w:t xml:space="preserve"> </w:t>
      </w:r>
      <w:r>
        <w:t xml:space="preserve">operate within the framework set out below. Reference to this Part is</w:t>
      </w:r>
      <w:r>
        <w:t xml:space="preserve"> </w:t>
      </w:r>
      <w:r>
        <w:t xml:space="preserve">incorporated into every Founding Node Operator Agreement, every</w:t>
      </w:r>
      <w:r>
        <w:t xml:space="preserve"> </w:t>
      </w:r>
      <w:r>
        <w:t xml:space="preserve">Verification Provider accreditation, and every Commercial License issued</w:t>
      </w:r>
      <w:r>
        <w:t xml:space="preserve"> </w:t>
      </w:r>
      <w:r>
        <w:t xml:space="preserve">by The AI Lab.</w:t>
      </w:r>
    </w:p>
    <w:bookmarkStart w:id="238" w:name="the-ai-lab-intelligence-unobscured-inc."/>
    <w:p>
      <w:pPr>
        <w:pStyle w:val="Heading2"/>
      </w:pPr>
      <w:r>
        <w:t xml:space="preserve">10.1 The AI Lab Intelligence Unobscured, Inc. </w:t>
      </w:r>
    </w:p>
    <w:p>
      <w:pPr>
        <w:pStyle w:val="FirstParagraph"/>
      </w:pPr>
      <w:r>
        <w:t xml:space="preserve">The Trust Identity Protocol™ is published, maintained, and stewarded</w:t>
      </w:r>
      <w:r>
        <w:t xml:space="preserve"> </w:t>
      </w:r>
      <w:r>
        <w:t xml:space="preserve">by</w:t>
      </w:r>
      <w:r>
        <w:t xml:space="preserve"> </w:t>
      </w:r>
      <w:r>
        <w:rPr>
          <w:b/>
          <w:bCs/>
        </w:rPr>
        <w:t xml:space="preserve">The AI Lab Intelligence Unobscured, Inc.</w:t>
      </w:r>
      <w:r>
        <w:t xml:space="preserve">, a</w:t>
      </w:r>
      <w:r>
        <w:t xml:space="preserve"> </w:t>
      </w:r>
      <w:r>
        <w:t xml:space="preserve">corporation incorporated under the General Corporation Law of the State</w:t>
      </w:r>
      <w:r>
        <w:t xml:space="preserve"> </w:t>
      </w:r>
      <w:r>
        <w:t xml:space="preserve">of Delaware on January 28, 2026, with United States Employer</w:t>
      </w:r>
      <w:r>
        <w:t xml:space="preserve"> </w:t>
      </w:r>
      <w:r>
        <w:t xml:space="preserve">Identification Number 41-3998789. The corporation’s principal executive</w:t>
      </w:r>
      <w:r>
        <w:t xml:space="preserve"> </w:t>
      </w:r>
      <w:r>
        <w:t xml:space="preserve">offices are located in Wilmington, Delaware, United States. The</w:t>
      </w:r>
      <w:r>
        <w:t xml:space="preserve"> </w:t>
      </w:r>
      <w:r>
        <w:t xml:space="preserve">corporation is registered to do business in the State of New Jersey as a</w:t>
      </w:r>
      <w:r>
        <w:t xml:space="preserve"> </w:t>
      </w:r>
      <w:r>
        <w:t xml:space="preserve">foreign corporation.</w:t>
      </w:r>
    </w:p>
    <w:p>
      <w:pPr>
        <w:pStyle w:val="BodyText"/>
      </w:pPr>
      <w:r>
        <w:t xml:space="preserve">The capital structure of The AI Lab, as restated by the Amended and</w:t>
      </w:r>
      <w:r>
        <w:t xml:space="preserve"> </w:t>
      </w:r>
      <w:r>
        <w:t xml:space="preserve">Restated Certificate of Incorporation filed with the Delaware Secretary</w:t>
      </w:r>
      <w:r>
        <w:t xml:space="preserve"> </w:t>
      </w:r>
      <w:r>
        <w:t xml:space="preserve">of State on May 12, 2026 (Delaware Service Request No. 20262490401),</w:t>
      </w:r>
      <w:r>
        <w:t xml:space="preserve"> </w:t>
      </w:r>
      <w:r>
        <w:t xml:space="preserve">comprises 10,000,000 shares of Class A Common Stock and 10,000,000</w:t>
      </w:r>
      <w:r>
        <w:t xml:space="preserve"> </w:t>
      </w:r>
      <w:r>
        <w:t xml:space="preserve">shares of Class B Common Stock, with a voting ratio of ten to one. The</w:t>
      </w:r>
      <w:r>
        <w:t xml:space="preserve"> </w:t>
      </w:r>
      <w:r>
        <w:t xml:space="preserve">Founder and Chairman, Dinesh Mendhe, holds the Class A shares. The</w:t>
      </w:r>
      <w:r>
        <w:t xml:space="preserve"> </w:t>
      </w:r>
      <w:r>
        <w:t xml:space="preserve">capital structure includes sunset provisions on the Class A voting</w:t>
      </w:r>
      <w:r>
        <w:t xml:space="preserve"> </w:t>
      </w:r>
      <w:r>
        <w:t xml:space="preserve">preference described in the Bylaws and the Voting Agreement.</w:t>
      </w:r>
    </w:p>
    <w:p>
      <w:pPr>
        <w:pStyle w:val="BodyText"/>
      </w:pPr>
      <w:r>
        <w:t xml:space="preserve">The 2026 Stock Plan, adopted by the sole director on May 12, 2026,</w:t>
      </w:r>
      <w:r>
        <w:t xml:space="preserve"> </w:t>
      </w:r>
      <w:r>
        <w:t xml:space="preserve">authorizes the issuance of up to 750,000 shares of Class B Common Stock</w:t>
      </w:r>
      <w:r>
        <w:t xml:space="preserve"> </w:t>
      </w:r>
      <w:r>
        <w:t xml:space="preserve">to employees, advisors, and consultants. Equity participation in The AI</w:t>
      </w:r>
      <w:r>
        <w:t xml:space="preserve"> </w:t>
      </w:r>
      <w:r>
        <w:t xml:space="preserve">Lab is restricted, subject to a right of first refusal in favor of the</w:t>
      </w:r>
      <w:r>
        <w:t xml:space="preserve"> </w:t>
      </w:r>
      <w:r>
        <w:t xml:space="preserve">corporation, and conditioned on vesting provisions and Section 83(b)</w:t>
      </w:r>
      <w:r>
        <w:t xml:space="preserve"> </w:t>
      </w:r>
      <w:r>
        <w:t xml:space="preserve">election protocols described in the Stock Plan.</w:t>
      </w:r>
    </w:p>
    <w:p>
      <w:pPr>
        <w:pStyle w:val="BodyText"/>
      </w:pPr>
      <w:r>
        <w:t xml:space="preserve">The corporation files annual franchise tax reports with the Delaware</w:t>
      </w:r>
      <w:r>
        <w:t xml:space="preserve"> </w:t>
      </w:r>
      <w:r>
        <w:t xml:space="preserve">Division of Corporations and federal corporate income tax returns on</w:t>
      </w:r>
      <w:r>
        <w:t xml:space="preserve"> </w:t>
      </w:r>
      <w:r>
        <w:t xml:space="preserve">Form 1120 with the United States Internal Revenue Service. The</w:t>
      </w:r>
      <w:r>
        <w:t xml:space="preserve"> </w:t>
      </w:r>
      <w:r>
        <w:t xml:space="preserve">corporation maintains a Minute Book containing the records of corporate</w:t>
      </w:r>
      <w:r>
        <w:t xml:space="preserve"> </w:t>
      </w:r>
      <w:r>
        <w:t xml:space="preserve">action required by the Delaware General Corporation Law.</w:t>
      </w:r>
    </w:p>
    <w:p>
      <w:pPr>
        <w:pStyle w:val="BodyText"/>
      </w:pPr>
      <w:r>
        <w:t xml:space="preserve">The institutional separation between (a) the corporation that</w:t>
      </w:r>
      <w:r>
        <w:t xml:space="preserve"> </w:t>
      </w:r>
      <w:r>
        <w:t xml:space="preserve">publishes and maintains the protocol and (b) the multi-stakeholder body</w:t>
      </w:r>
      <w:r>
        <w:t xml:space="preserve"> </w:t>
      </w:r>
      <w:r>
        <w:t xml:space="preserve">that ratifies protocol changes is established in Section 10.2 and is</w:t>
      </w:r>
      <w:r>
        <w:t xml:space="preserve"> </w:t>
      </w:r>
      <w:r>
        <w:t xml:space="preserve">structurally enforced by the AI Trust Council Charter.</w:t>
      </w:r>
    </w:p>
    <w:bookmarkEnd w:id="238"/>
    <w:bookmarkStart w:id="246" w:name="the-ai-trust-council"/>
    <w:p>
      <w:pPr>
        <w:pStyle w:val="Heading2"/>
      </w:pPr>
      <w:r>
        <w:t xml:space="preserve">10.2 The AI Trust Council</w:t>
      </w:r>
    </w:p>
    <w:bookmarkStart w:id="239" w:name="establishment-and-independence"/>
    <w:p>
      <w:pPr>
        <w:pStyle w:val="Heading3"/>
      </w:pPr>
      <w:r>
        <w:t xml:space="preserve">10.2.1 Establishment and independence</w:t>
      </w:r>
    </w:p>
    <w:p>
      <w:pPr>
        <w:pStyle w:val="FirstParagraph"/>
      </w:pPr>
      <w:r>
        <w:t xml:space="preserve">The AI Trust Council (the</w:t>
      </w:r>
      <w:r>
        <w:t xml:space="preserve"> </w:t>
      </w:r>
      <w:r>
        <w:t xml:space="preserve">“Council”</w:t>
      </w:r>
      <w:r>
        <w:t xml:space="preserve">) is the independent</w:t>
      </w:r>
      <w:r>
        <w:t xml:space="preserve"> </w:t>
      </w:r>
      <w:r>
        <w:t xml:space="preserve">multi-stakeholder body established by The AI Lab to ratify the</w:t>
      </w:r>
      <w:r>
        <w:t xml:space="preserve"> </w:t>
      </w:r>
      <w:r>
        <w:t xml:space="preserve">governance, evolution, and enforcement of the Trust Identity Protocol.</w:t>
      </w:r>
      <w:r>
        <w:t xml:space="preserve"> </w:t>
      </w:r>
      <w:r>
        <w:t xml:space="preserve">The Council is constituted under a written Charter ratified by the sole</w:t>
      </w:r>
      <w:r>
        <w:t xml:space="preserve"> </w:t>
      </w:r>
      <w:r>
        <w:t xml:space="preserve">director of The AI Lab and published at theailab.org/ai-trust-council.</w:t>
      </w:r>
      <w:r>
        <w:t xml:space="preserve"> </w:t>
      </w:r>
      <w:r>
        <w:t xml:space="preserve">The Charter is incorporated by reference into this Part. The Council</w:t>
      </w:r>
      <w:r>
        <w:t xml:space="preserve"> </w:t>
      </w:r>
      <w:r>
        <w:t xml:space="preserve">was conceived, designed, and convened by Dinesh Mendhe, who is also</w:t>
      </w:r>
      <w:r>
        <w:t xml:space="preserve"> </w:t>
      </w:r>
      <w:r>
        <w:t xml:space="preserve">the creator and founder of the Trust Identity Protocol, the AI Trust</w:t>
      </w:r>
      <w:r>
        <w:t xml:space="preserve"> </w:t>
      </w:r>
      <w:r>
        <w:t xml:space="preserve">Registry, the AI Trust ID, and the Human Trust ID system to which the</w:t>
      </w:r>
      <w:r>
        <w:t xml:space="preserve"> </w:t>
      </w:r>
      <w:r>
        <w:t xml:space="preserve">Council’s governance applies.</w:t>
      </w:r>
      <w:r>
        <w:t xml:space="preserve"> </w:t>
      </w:r>
      <w:r>
        <w:rPr>
          <w:b/>
          <w:bCs/>
        </w:rPr>
        <w:t xml:space="preserve">The AI Trust Council was convened</w:t>
      </w:r>
      <w:r>
        <w:rPr>
          <w:b/>
          <w:bCs/>
        </w:rPr>
        <w:t xml:space="preserve"> </w:t>
      </w:r>
      <w:r>
        <w:rPr>
          <w:b/>
          <w:bCs/>
        </w:rPr>
        <w:t xml:space="preserve">on the third day of May, 2026.</w:t>
      </w:r>
    </w:p>
    <w:p>
      <w:pPr>
        <w:pStyle w:val="BodyText"/>
      </w:pPr>
      <w:r>
        <w:t xml:space="preserve">The Council is structured to be the kind of multi-stakeholder body</w:t>
      </w:r>
      <w:r>
        <w:t xml:space="preserve"> </w:t>
      </w:r>
      <w:r>
        <w:t xml:space="preserve">contemplated by Article 95 of Regulation (EU) 2024/1689 (the “EU AI</w:t>
      </w:r>
      <w:r>
        <w:t xml:space="preserve"> </w:t>
      </w:r>
      <w:r>
        <w:t xml:space="preserve">Act”) concerning voluntary codes of conduct, and is structured to</w:t>
      </w:r>
      <w:r>
        <w:t xml:space="preserve"> </w:t>
      </w:r>
      <w:r>
        <w:t xml:space="preserve">satisfy the independence indicia that the AI Office and analogous</w:t>
      </w:r>
      <w:r>
        <w:t xml:space="preserve"> </w:t>
      </w:r>
      <w:r>
        <w:t xml:space="preserve">regulatory bodies in other jurisdictions are expected to apply when</w:t>
      </w:r>
      <w:r>
        <w:t xml:space="preserve"> </w:t>
      </w:r>
      <w:r>
        <w:t xml:space="preserve">evaluating governance regimes for content provenance and verifiable</w:t>
      </w:r>
      <w:r>
        <w:t xml:space="preserve"> </w:t>
      </w:r>
      <w:r>
        <w:t xml:space="preserve">identity infrastructure.</w:t>
      </w:r>
    </w:p>
    <w:p>
      <w:pPr>
        <w:pStyle w:val="BodyText"/>
      </w:pPr>
      <w:r>
        <w:t xml:space="preserve">The Council’s independence is structurally enforced by the Charter</w:t>
      </w:r>
      <w:r>
        <w:t xml:space="preserve"> </w:t>
      </w:r>
      <w:r>
        <w:t xml:space="preserve">through the provisions summarized in Section 10.2.4.</w:t>
      </w:r>
    </w:p>
    <w:bookmarkEnd w:id="239"/>
    <w:bookmarkStart w:id="240" w:name="founding-members"/>
    <w:p>
      <w:pPr>
        <w:pStyle w:val="Heading3"/>
      </w:pPr>
      <w:r>
        <w:t xml:space="preserve">10.2.2 Founding Members</w:t>
      </w:r>
    </w:p>
    <w:p>
      <w:pPr>
        <w:pStyle w:val="FirstParagraph"/>
      </w:pPr>
      <w:r>
        <w:t xml:space="preserve">The Council’s Founding Members, who serve from the date of the</w:t>
      </w:r>
      <w:r>
        <w:t xml:space="preserve"> </w:t>
      </w:r>
      <w:r>
        <w:t xml:space="preserve">Council’s first plenary session through the conclusion of the Founding</w:t>
      </w:r>
      <w:r>
        <w:t xml:space="preserve"> </w:t>
      </w:r>
      <w:r>
        <w:t xml:space="preserve">Period unless replaced earlier in accordance with the Charter, are: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Seat</w:t>
            </w:r>
          </w:p>
        </w:tc>
        <w:tc>
          <w:tcPr/>
          <w:p>
            <w:pPr>
              <w:pStyle w:val="Compact"/>
            </w:pPr>
            <w:r>
              <w:t xml:space="preserve">Member</w:t>
            </w:r>
          </w:p>
        </w:tc>
        <w:tc>
          <w:tcPr/>
          <w:p>
            <w:pPr>
              <w:pStyle w:val="Compact"/>
            </w:pPr>
            <w:r>
              <w:t xml:space="preserve">Notes</w:t>
            </w:r>
          </w:p>
        </w:tc>
      </w:tr>
      <w:tr>
        <w:tc>
          <w:tcPr/>
          <w:p>
            <w:pPr>
              <w:pStyle w:val="Compact"/>
            </w:pPr>
            <w:r>
              <w:t xml:space="preserve">Founding Chair</w:t>
            </w:r>
          </w:p>
        </w:tc>
        <w:tc>
          <w:tcPr/>
          <w:p>
            <w:pPr>
              <w:pStyle w:val="Compact"/>
            </w:pPr>
            <w:r>
              <w:t xml:space="preserve">Joshua Baron</w:t>
            </w:r>
          </w:p>
        </w:tc>
        <w:tc>
          <w:tcPr/>
          <w:p>
            <w:pPr>
              <w:pStyle w:val="Compact"/>
            </w:pPr>
            <w:r>
              <w:t xml:space="preserve">Independent Member, principal responsibility for Council proceedings</w:t>
            </w:r>
          </w:p>
        </w:tc>
      </w:tr>
      <w:tr>
        <w:tc>
          <w:tcPr/>
          <w:p>
            <w:pPr>
              <w:pStyle w:val="Compact"/>
            </w:pPr>
            <w:r>
              <w:t xml:space="preserve">Founder Seat</w:t>
            </w:r>
          </w:p>
        </w:tc>
        <w:tc>
          <w:tcPr/>
          <w:p>
            <w:pPr>
              <w:pStyle w:val="Compact"/>
            </w:pPr>
            <w:r>
              <w:t xml:space="preserve">Dinesh Mendhe</w:t>
            </w:r>
          </w:p>
        </w:tc>
        <w:tc>
          <w:tcPr/>
          <w:p>
            <w:pPr>
              <w:pStyle w:val="Compact"/>
            </w:pPr>
            <w:r>
              <w:t xml:space="preserve">Founder and creator of the Trust Identity Protocol, the AI Trust Council, the AI Trust Registry, the AI Trust ID, and the Human Trust ID system; sole inventor named on the underlying United States provisional patent applications; Member with declared interest as Founder of The AI Lab, subject to a defined recusal scope (see below)</w:t>
            </w:r>
          </w:p>
        </w:tc>
      </w:tr>
      <w:tr>
        <w:tc>
          <w:tcPr/>
          <w:p>
            <w:pPr>
              <w:pStyle w:val="Compact"/>
            </w:pPr>
            <w:r>
              <w:t xml:space="preserve">Founding Member</w:t>
            </w:r>
          </w:p>
        </w:tc>
        <w:tc>
          <w:tcPr/>
          <w:p>
            <w:pPr>
              <w:pStyle w:val="Compact"/>
            </w:pPr>
            <w:r>
              <w:t xml:space="preserve">Ross Thorpe</w:t>
            </w:r>
          </w:p>
        </w:tc>
        <w:tc>
          <w:tcPr/>
          <w:p>
            <w:pPr>
              <w:pStyle w:val="Compact"/>
            </w:pPr>
            <w:r>
              <w:t xml:space="preserve">Independent Member</w:t>
            </w:r>
          </w:p>
        </w:tc>
      </w:tr>
      <w:tr>
        <w:tc>
          <w:tcPr/>
          <w:p>
            <w:pPr>
              <w:pStyle w:val="Compact"/>
            </w:pPr>
            <w:r>
              <w:t xml:space="preserve">Founding Member</w:t>
            </w:r>
          </w:p>
        </w:tc>
        <w:tc>
          <w:tcPr/>
          <w:p>
            <w:pPr>
              <w:pStyle w:val="Compact"/>
            </w:pPr>
            <w:r>
              <w:t xml:space="preserve">Issa Nesheiwat</w:t>
            </w:r>
          </w:p>
        </w:tc>
        <w:tc>
          <w:tcPr/>
          <w:p>
            <w:pPr>
              <w:pStyle w:val="Compact"/>
            </w:pPr>
            <w:r>
              <w:t xml:space="preserve">Independent Member</w:t>
            </w:r>
          </w:p>
        </w:tc>
      </w:tr>
      <w:tr>
        <w:tc>
          <w:tcPr/>
          <w:p>
            <w:pPr>
              <w:pStyle w:val="Compact"/>
            </w:pPr>
            <w:r>
              <w:t xml:space="preserve">Ex Officio Observer</w:t>
            </w:r>
          </w:p>
        </w:tc>
        <w:tc>
          <w:tcPr/>
          <w:p>
            <w:pPr>
              <w:pStyle w:val="Compact"/>
            </w:pPr>
            <w:r>
              <w:t xml:space="preserve">Chief Executive Officer of The AI Lab Intelligence Unobscured, Inc. (currently Dr. Sofia Martinez Gonzalez), serving by virtue of office</w:t>
            </w:r>
          </w:p>
        </w:tc>
        <w:tc>
          <w:tcPr/>
          <w:p>
            <w:pPr>
              <w:pStyle w:val="Compact"/>
            </w:pPr>
            <w:r>
              <w:t xml:space="preserve">Observer capacity; attends to provide operational information; may be excluded from executive session under the procedure in the Charter</w:t>
            </w:r>
          </w:p>
        </w:tc>
      </w:tr>
    </w:tbl>
    <w:p>
      <w:pPr>
        <w:pStyle w:val="BodyText"/>
      </w:pPr>
      <w:r>
        <w:t xml:space="preserve">The Founder Seat holder shall recuse from deliberations on (a)</w:t>
      </w:r>
      <w:r>
        <w:t xml:space="preserve"> </w:t>
      </w:r>
      <w:r>
        <w:t xml:space="preserve">enforcement actions against The AI Lab, (b) Commercial License fee</w:t>
      </w:r>
      <w:r>
        <w:t xml:space="preserve"> </w:t>
      </w:r>
      <w:r>
        <w:t xml:space="preserve">schedule amendments, and (c) any matter in which the Founder Seat</w:t>
      </w:r>
      <w:r>
        <w:t xml:space="preserve"> </w:t>
      </w:r>
      <w:r>
        <w:t xml:space="preserve">holder has a direct financial interest.</w:t>
      </w:r>
    </w:p>
    <w:p>
      <w:pPr>
        <w:pStyle w:val="BodyText"/>
      </w:pPr>
      <w:r>
        <w:t xml:space="preserve">The Founding Chair and the two independent Founding Members (Baron,</w:t>
      </w:r>
      <w:r>
        <w:t xml:space="preserve"> </w:t>
      </w:r>
      <w:r>
        <w:t xml:space="preserve">Thorpe, Nesheiwat) are independent of The AI Lab. The Founder Seat</w:t>
      </w:r>
      <w:r>
        <w:t xml:space="preserve"> </w:t>
      </w:r>
      <w:r>
        <w:t xml:space="preserve">carries a declared interest and a defined recusal scope. The Ex</w:t>
      </w:r>
      <w:r>
        <w:t xml:space="preserve"> </w:t>
      </w:r>
      <w:r>
        <w:t xml:space="preserve">Officio Observer attends in an observer capacity. This composition is</w:t>
      </w:r>
      <w:r>
        <w:t xml:space="preserve"> </w:t>
      </w:r>
      <w:r>
        <w:t xml:space="preserve">designed to satisfy the independence threshold applied by regulators</w:t>
      </w:r>
      <w:r>
        <w:t xml:space="preserve"> </w:t>
      </w:r>
      <w:r>
        <w:t xml:space="preserve">evaluating multi-stakeholder governance bodies.</w:t>
      </w:r>
    </w:p>
    <w:bookmarkEnd w:id="240"/>
    <w:bookmarkStart w:id="241" w:name="decision-rights"/>
    <w:p>
      <w:pPr>
        <w:pStyle w:val="Heading3"/>
      </w:pPr>
      <w:r>
        <w:t xml:space="preserve">10.2.3 Decision rights</w:t>
      </w:r>
    </w:p>
    <w:p>
      <w:pPr>
        <w:pStyle w:val="FirstParagraph"/>
      </w:pPr>
      <w:r>
        <w:t xml:space="preserve">The Council ratifies the following categories of action:</w:t>
      </w:r>
    </w:p>
    <w:p>
      <w:pPr>
        <w:pStyle w:val="Compact"/>
        <w:numPr>
          <w:ilvl w:val="0"/>
          <w:numId w:val="1020"/>
        </w:numPr>
      </w:pPr>
      <w:r>
        <w:t xml:space="preserve">Amendments to the canonical TIP Protocol Specification, including</w:t>
      </w:r>
      <w:r>
        <w:t xml:space="preserve"> </w:t>
      </w:r>
      <w:r>
        <w:t xml:space="preserve">version increments.</w:t>
      </w:r>
    </w:p>
    <w:p>
      <w:pPr>
        <w:pStyle w:val="Compact"/>
        <w:numPr>
          <w:ilvl w:val="0"/>
          <w:numId w:val="1020"/>
        </w:numPr>
      </w:pPr>
      <w:r>
        <w:t xml:space="preserve">Amendments to the Canonical Normalization Algorithm, including the</w:t>
      </w:r>
      <w:r>
        <w:t xml:space="preserve"> </w:t>
      </w:r>
      <w:r>
        <w:t xml:space="preserve">introduction of new normalization variants (CNA-IMG, CNA-VID, and</w:t>
      </w:r>
      <w:r>
        <w:t xml:space="preserve"> </w:t>
      </w:r>
      <w:r>
        <w:t xml:space="preserve">successor variants).</w:t>
      </w:r>
    </w:p>
    <w:p>
      <w:pPr>
        <w:pStyle w:val="Compact"/>
        <w:numPr>
          <w:ilvl w:val="0"/>
          <w:numId w:val="1020"/>
        </w:numPr>
      </w:pPr>
      <w:r>
        <w:t xml:space="preserve">Accreditation criteria for Verification Providers, and decisions to</w:t>
      </w:r>
      <w:r>
        <w:t xml:space="preserve"> </w:t>
      </w:r>
      <w:r>
        <w:t xml:space="preserve">grant, suspend, or revoke individual Verification Provider</w:t>
      </w:r>
      <w:r>
        <w:t xml:space="preserve"> </w:t>
      </w:r>
      <w:r>
        <w:t xml:space="preserve">accreditations.</w:t>
      </w:r>
    </w:p>
    <w:p>
      <w:pPr>
        <w:pStyle w:val="Compact"/>
        <w:numPr>
          <w:ilvl w:val="0"/>
          <w:numId w:val="1020"/>
        </w:numPr>
      </w:pPr>
      <w:r>
        <w:t xml:space="preserve">Suspension or revocation of Founding Node Operator status for</w:t>
      </w:r>
      <w:r>
        <w:t xml:space="preserve"> </w:t>
      </w:r>
      <w:r>
        <w:t xml:space="preserve">cause.</w:t>
      </w:r>
    </w:p>
    <w:p>
      <w:pPr>
        <w:pStyle w:val="Compact"/>
        <w:numPr>
          <w:ilvl w:val="0"/>
          <w:numId w:val="1020"/>
        </w:numPr>
      </w:pPr>
      <w:r>
        <w:t xml:space="preserve">Modifications to the Trust Score sub-score weights and to the</w:t>
      </w:r>
      <w:r>
        <w:t xml:space="preserve"> </w:t>
      </w:r>
      <w:r>
        <w:t xml:space="preserve">threshold values for Blocking Items B1 through B6.</w:t>
      </w:r>
    </w:p>
    <w:p>
      <w:pPr>
        <w:pStyle w:val="Compact"/>
        <w:numPr>
          <w:ilvl w:val="0"/>
          <w:numId w:val="1020"/>
        </w:numPr>
      </w:pPr>
      <w:r>
        <w:t xml:space="preserve">Standards organization engagement positions (ISO/IEC JTC 1/SC 27,</w:t>
      </w:r>
      <w:r>
        <w:t xml:space="preserve"> </w:t>
      </w:r>
      <w:r>
        <w:t xml:space="preserve">W3C, IETF, ETSI, NIST).</w:t>
      </w:r>
    </w:p>
    <w:p>
      <w:pPr>
        <w:pStyle w:val="Compact"/>
        <w:numPr>
          <w:ilvl w:val="0"/>
          <w:numId w:val="1020"/>
        </w:numPr>
      </w:pPr>
      <w:r>
        <w:t xml:space="preserve">Statements made by The AI Lab to regulatory authorities concerning</w:t>
      </w:r>
      <w:r>
        <w:t xml:space="preserve"> </w:t>
      </w:r>
      <w:r>
        <w:t xml:space="preserve">the conformance of the protocol with applicable law.</w:t>
      </w:r>
    </w:p>
    <w:p>
      <w:pPr>
        <w:pStyle w:val="Compact"/>
        <w:numPr>
          <w:ilvl w:val="0"/>
          <w:numId w:val="1020"/>
        </w:numPr>
      </w:pPr>
      <w:r>
        <w:t xml:space="preserve">The transition from the Founding Period to the Network Period</w:t>
      </w:r>
      <w:r>
        <w:t xml:space="preserve"> </w:t>
      </w:r>
      <w:r>
        <w:t xml:space="preserve">described in Part VII.</w:t>
      </w:r>
    </w:p>
    <w:p>
      <w:pPr>
        <w:pStyle w:val="Compact"/>
        <w:numPr>
          <w:ilvl w:val="0"/>
          <w:numId w:val="1020"/>
        </w:numPr>
      </w:pPr>
      <w:r>
        <w:t xml:space="preserve">Charter amendments.</w:t>
      </w:r>
    </w:p>
    <w:p>
      <w:pPr>
        <w:pStyle w:val="FirstParagraph"/>
      </w:pPr>
      <w:r>
        <w:t xml:space="preserve">Council ratifications under (a) through (h) are required for the</w:t>
      </w:r>
      <w:r>
        <w:t xml:space="preserve"> </w:t>
      </w:r>
      <w:r>
        <w:t xml:space="preserve">action to take effect. Charter amendments under (i) require both</w:t>
      </w:r>
      <w:r>
        <w:t xml:space="preserve"> </w:t>
      </w:r>
      <w:r>
        <w:t xml:space="preserve">supermajority Council ratification and sole director consent of The AI</w:t>
      </w:r>
      <w:r>
        <w:t xml:space="preserve"> </w:t>
      </w:r>
      <w:r>
        <w:t xml:space="preserve">Lab.</w:t>
      </w:r>
    </w:p>
    <w:p>
      <w:pPr>
        <w:pStyle w:val="BodyText"/>
      </w:pPr>
      <w:r>
        <w:t xml:space="preserve">The AI Lab shall not depart from a duly ratified Council decision</w:t>
      </w:r>
      <w:r>
        <w:t xml:space="preserve"> </w:t>
      </w:r>
      <w:r>
        <w:t xml:space="preserve">except by written instrument signed by the sole director, recorded in</w:t>
      </w:r>
      <w:r>
        <w:t xml:space="preserve"> </w:t>
      </w:r>
      <w:r>
        <w:t xml:space="preserve">the Minute Book of the corporation, and published on</w:t>
      </w:r>
      <w:r>
        <w:t xml:space="preserve"> </w:t>
      </w:r>
      <w:r>
        <w:t xml:space="preserve">theailab.org/ai-trust-council within fourteen days. Any such departure</w:t>
      </w:r>
      <w:r>
        <w:t xml:space="preserve"> </w:t>
      </w:r>
      <w:r>
        <w:t xml:space="preserve">shall identify the Council decision departed from and shall state the</w:t>
      </w:r>
      <w:r>
        <w:t xml:space="preserve"> </w:t>
      </w:r>
      <w:r>
        <w:t xml:space="preserve">reasons.</w:t>
      </w:r>
    </w:p>
    <w:bookmarkEnd w:id="241"/>
    <w:bookmarkStart w:id="242" w:name="independence-covenants"/>
    <w:p>
      <w:pPr>
        <w:pStyle w:val="Heading3"/>
      </w:pPr>
      <w:r>
        <w:t xml:space="preserve">10.2.4 Independence covenants</w:t>
      </w:r>
    </w:p>
    <w:p>
      <w:pPr>
        <w:pStyle w:val="FirstParagraph"/>
      </w:pPr>
      <w:r>
        <w:t xml:space="preserve">The Charter contains, and the Council operates under, the following</w:t>
      </w:r>
      <w:r>
        <w:t xml:space="preserve"> </w:t>
      </w:r>
      <w:r>
        <w:t xml:space="preserve">independence covenants:</w:t>
      </w:r>
    </w:p>
    <w:p>
      <w:pPr>
        <w:pStyle w:val="Compact"/>
        <w:numPr>
          <w:ilvl w:val="0"/>
          <w:numId w:val="1021"/>
        </w:numPr>
      </w:pPr>
      <w:r>
        <w:rPr>
          <w:b/>
          <w:bCs/>
        </w:rPr>
        <w:t xml:space="preserve">Quorum:</w:t>
      </w:r>
      <w:r>
        <w:t xml:space="preserve"> </w:t>
      </w:r>
      <w:r>
        <w:t xml:space="preserve">matters are taken up only when the Founding</w:t>
      </w:r>
      <w:r>
        <w:t xml:space="preserve"> </w:t>
      </w:r>
      <w:r>
        <w:t xml:space="preserve">Members and the Founder Seat holder are present or have submitted</w:t>
      </w:r>
      <w:r>
        <w:t xml:space="preserve"> </w:t>
      </w:r>
      <w:r>
        <w:t xml:space="preserve">a written position in accordance with the Charter.</w:t>
      </w:r>
    </w:p>
    <w:p>
      <w:pPr>
        <w:pStyle w:val="Compact"/>
        <w:numPr>
          <w:ilvl w:val="0"/>
          <w:numId w:val="1021"/>
        </w:numPr>
      </w:pPr>
      <w:r>
        <w:rPr>
          <w:b/>
          <w:bCs/>
        </w:rPr>
        <w:t xml:space="preserve">Decision threshold:</w:t>
      </w:r>
      <w:r>
        <w:t xml:space="preserve"> </w:t>
      </w:r>
      <w:r>
        <w:t xml:space="preserve">matters pass by three-of-five</w:t>
      </w:r>
      <w:r>
        <w:t xml:space="preserve"> </w:t>
      </w:r>
      <w:r>
        <w:t xml:space="preserve">constituency supermajority for protocol amendments, Verification</w:t>
      </w:r>
      <w:r>
        <w:t xml:space="preserve"> </w:t>
      </w:r>
      <w:r>
        <w:t xml:space="preserve">Provider accreditation suspensions, Charter amendments, and</w:t>
      </w:r>
      <w:r>
        <w:t xml:space="preserve"> </w:t>
      </w:r>
      <w:r>
        <w:t xml:space="preserve">statements to regulatory authorities. Routine matters proceed</w:t>
      </w:r>
      <w:r>
        <w:t xml:space="preserve"> </w:t>
      </w:r>
      <w:r>
        <w:t xml:space="preserve">under the consensus procedure described in the Charter.</w:t>
      </w:r>
    </w:p>
    <w:p>
      <w:pPr>
        <w:pStyle w:val="Compact"/>
        <w:numPr>
          <w:ilvl w:val="0"/>
          <w:numId w:val="1021"/>
        </w:numPr>
      </w:pPr>
      <w:r>
        <w:rPr>
          <w:b/>
          <w:bCs/>
        </w:rPr>
        <w:t xml:space="preserve">Conflict of interest:</w:t>
      </w:r>
      <w:r>
        <w:t xml:space="preserve"> </w:t>
      </w:r>
      <w:r>
        <w:t xml:space="preserve">mandatory written disclosure</w:t>
      </w:r>
      <w:r>
        <w:t xml:space="preserve"> </w:t>
      </w:r>
      <w:r>
        <w:t xml:space="preserve">on appointment and annually thereafter; mandatory recusal from any</w:t>
      </w:r>
      <w:r>
        <w:t xml:space="preserve"> </w:t>
      </w:r>
      <w:r>
        <w:t xml:space="preserve">matter in which the Member has a direct or indirect financial or</w:t>
      </w:r>
      <w:r>
        <w:t xml:space="preserve"> </w:t>
      </w:r>
      <w:r>
        <w:t xml:space="preserve">personal interest.</w:t>
      </w:r>
    </w:p>
    <w:p>
      <w:pPr>
        <w:pStyle w:val="Compact"/>
        <w:numPr>
          <w:ilvl w:val="0"/>
          <w:numId w:val="1021"/>
        </w:numPr>
      </w:pPr>
      <w:r>
        <w:rPr>
          <w:b/>
          <w:bCs/>
        </w:rPr>
        <w:t xml:space="preserve">Right of dissent:</w:t>
      </w:r>
      <w:r>
        <w:t xml:space="preserve"> </w:t>
      </w:r>
      <w:r>
        <w:t xml:space="preserve">any Member may publish a written</w:t>
      </w:r>
      <w:r>
        <w:t xml:space="preserve"> </w:t>
      </w:r>
      <w:r>
        <w:t xml:space="preserve">dissent attached to the Council’s record of decision.</w:t>
      </w:r>
    </w:p>
    <w:p>
      <w:pPr>
        <w:pStyle w:val="Compact"/>
        <w:numPr>
          <w:ilvl w:val="0"/>
          <w:numId w:val="1021"/>
        </w:numPr>
      </w:pPr>
      <w:r>
        <w:rPr>
          <w:b/>
          <w:bCs/>
        </w:rPr>
        <w:t xml:space="preserve">Transparency:</w:t>
      </w:r>
      <w:r>
        <w:t xml:space="preserve"> </w:t>
      </w:r>
      <w:r>
        <w:t xml:space="preserve">minutes of plenary sessions are</w:t>
      </w:r>
      <w:r>
        <w:t xml:space="preserve"> </w:t>
      </w:r>
      <w:r>
        <w:t xml:space="preserve">published within thirty days, redacted only for personal data and for</w:t>
      </w:r>
      <w:r>
        <w:t xml:space="preserve"> </w:t>
      </w:r>
      <w:r>
        <w:t xml:space="preserve">confidential commercial information of third parties.</w:t>
      </w:r>
    </w:p>
    <w:p>
      <w:pPr>
        <w:pStyle w:val="Compact"/>
        <w:numPr>
          <w:ilvl w:val="0"/>
          <w:numId w:val="1021"/>
        </w:numPr>
      </w:pPr>
      <w:r>
        <w:rPr>
          <w:b/>
          <w:bCs/>
        </w:rPr>
        <w:t xml:space="preserve">Annual transparency report:</w:t>
      </w:r>
      <w:r>
        <w:t xml:space="preserve"> </w:t>
      </w:r>
      <w:r>
        <w:t xml:space="preserve">the Council publishes</w:t>
      </w:r>
      <w:r>
        <w:t xml:space="preserve"> </w:t>
      </w:r>
      <w:r>
        <w:t xml:space="preserve">an annual transparency report in January of each year, summarizing the</w:t>
      </w:r>
      <w:r>
        <w:t xml:space="preserve"> </w:t>
      </w:r>
      <w:r>
        <w:t xml:space="preserve">prior year’s decisions, dissents, and accreditation actions.</w:t>
      </w:r>
    </w:p>
    <w:p>
      <w:pPr>
        <w:pStyle w:val="Compact"/>
        <w:numPr>
          <w:ilvl w:val="0"/>
          <w:numId w:val="1021"/>
        </w:numPr>
      </w:pPr>
      <w:r>
        <w:rPr>
          <w:b/>
          <w:bCs/>
        </w:rPr>
        <w:t xml:space="preserve">No instruction from The AI Lab:</w:t>
      </w:r>
      <w:r>
        <w:t xml:space="preserve"> </w:t>
      </w:r>
      <w:r>
        <w:t xml:space="preserve">no officer or</w:t>
      </w:r>
      <w:r>
        <w:t xml:space="preserve"> </w:t>
      </w:r>
      <w:r>
        <w:t xml:space="preserve">director of The AI Lab may instruct, direct, or financially condition</w:t>
      </w:r>
      <w:r>
        <w:t xml:space="preserve"> </w:t>
      </w:r>
      <w:r>
        <w:t xml:space="preserve">the conduct of a Member in connection with Council deliberations.</w:t>
      </w:r>
      <w:r>
        <w:t xml:space="preserve"> </w:t>
      </w:r>
      <w:r>
        <w:t xml:space="preserve">The Founder Seat holder is bound by this covenant when acting in the</w:t>
      </w:r>
      <w:r>
        <w:t xml:space="preserve"> </w:t>
      </w:r>
      <w:r>
        <w:t xml:space="preserve">Founder Seat capacity.</w:t>
      </w:r>
    </w:p>
    <w:p>
      <w:pPr>
        <w:pStyle w:val="Compact"/>
        <w:numPr>
          <w:ilvl w:val="0"/>
          <w:numId w:val="1021"/>
        </w:numPr>
      </w:pPr>
      <w:r>
        <w:rPr>
          <w:b/>
          <w:bCs/>
        </w:rPr>
        <w:t xml:space="preserve">Removal:</w:t>
      </w:r>
      <w:r>
        <w:t xml:space="preserve"> </w:t>
      </w:r>
      <w:r>
        <w:t xml:space="preserve">Members may be removed only for cause</w:t>
      </w:r>
      <w:r>
        <w:t xml:space="preserve"> </w:t>
      </w:r>
      <w:r>
        <w:t xml:space="preserve">(defined narrowly in the Charter as incapacity, conviction of a</w:t>
      </w:r>
      <w:r>
        <w:t xml:space="preserve"> </w:t>
      </w:r>
      <w:r>
        <w:t xml:space="preserve">crime of moral turpitude, or material breach of the Charter), by</w:t>
      </w:r>
      <w:r>
        <w:t xml:space="preserve"> </w:t>
      </w:r>
      <w:r>
        <w:t xml:space="preserve">a three-of-five constituency supermajority of the remaining Members.</w:t>
      </w:r>
      <w:r>
        <w:t xml:space="preserve"> </w:t>
      </w:r>
      <w:r>
        <w:t xml:space="preserve">The AI Lab does not retain the power to remove a Member.</w:t>
      </w:r>
    </w:p>
    <w:p>
      <w:pPr>
        <w:pStyle w:val="Compact"/>
        <w:numPr>
          <w:ilvl w:val="0"/>
          <w:numId w:val="1021"/>
        </w:numPr>
      </w:pPr>
      <w:r>
        <w:rPr>
          <w:b/>
          <w:bCs/>
        </w:rPr>
        <w:t xml:space="preserve">Term:</w:t>
      </w:r>
      <w:r>
        <w:t xml:space="preserve"> </w:t>
      </w:r>
      <w:r>
        <w:t xml:space="preserve">three-year staggered terms with a two-term</w:t>
      </w:r>
      <w:r>
        <w:t xml:space="preserve"> </w:t>
      </w:r>
      <w:r>
        <w:t xml:space="preserve">limit, except the Founder Seat which is held during the Founder’s life</w:t>
      </w:r>
      <w:r>
        <w:t xml:space="preserve"> </w:t>
      </w:r>
      <w:r>
        <w:t xml:space="preserve">or until resignation.</w:t>
      </w:r>
    </w:p>
    <w:p>
      <w:pPr>
        <w:pStyle w:val="Compact"/>
        <w:numPr>
          <w:ilvl w:val="0"/>
          <w:numId w:val="1021"/>
        </w:numPr>
      </w:pPr>
      <w:r>
        <w:rPr>
          <w:b/>
          <w:bCs/>
        </w:rPr>
        <w:t xml:space="preserve">Succession:</w:t>
      </w:r>
      <w:r>
        <w:t xml:space="preserve"> </w:t>
      </w:r>
      <w:r>
        <w:t xml:space="preserve">the remaining Members select their successors</w:t>
      </w:r>
      <w:r>
        <w:t xml:space="preserve"> </w:t>
      </w:r>
      <w:r>
        <w:t xml:space="preserve">by the consensus procedure described in the Charter, subject to a</w:t>
      </w:r>
      <w:r>
        <w:t xml:space="preserve"> </w:t>
      </w:r>
      <w:r>
        <w:t xml:space="preserve">public call for candidates and a published selection record.</w:t>
      </w:r>
    </w:p>
    <w:p>
      <w:pPr>
        <w:pStyle w:val="Compact"/>
        <w:numPr>
          <w:ilvl w:val="0"/>
          <w:numId w:val="1021"/>
        </w:numPr>
      </w:pPr>
      <w:r>
        <w:rPr>
          <w:b/>
          <w:bCs/>
        </w:rPr>
        <w:t xml:space="preserve">Compensation:</w:t>
      </w:r>
      <w:r>
        <w:t xml:space="preserve"> </w:t>
      </w:r>
      <w:r>
        <w:t xml:space="preserve">Members may be compensated by The AI</w:t>
      </w:r>
      <w:r>
        <w:t xml:space="preserve"> </w:t>
      </w:r>
      <w:r>
        <w:t xml:space="preserve">Lab for time spent on Council duties at a rate published annually;</w:t>
      </w:r>
      <w:r>
        <w:t xml:space="preserve"> </w:t>
      </w:r>
      <w:r>
        <w:t xml:space="preserve">compensation does not give The AI Lab the right to instruct.</w:t>
      </w:r>
    </w:p>
    <w:bookmarkEnd w:id="242"/>
    <w:bookmarkStart w:id="243" w:name="ai-trust-advisory-board-section"/>
    <w:p>
      <w:pPr>
        <w:pStyle w:val="Heading3"/>
      </w:pPr>
      <w:r>
        <w:t xml:space="preserve">10.2.5 AI Trust Advisory Board</w:t>
      </w:r>
    </w:p>
    <w:p>
      <w:pPr>
        <w:pStyle w:val="FirstParagraph"/>
      </w:pPr>
      <w:r>
        <w:t xml:space="preserve">The Council is supported by an AI Trust Advisory Board (the</w:t>
      </w:r>
      <w:r>
        <w:t xml:space="preserve"> </w:t>
      </w:r>
      <w:r>
        <w:t xml:space="preserve">“Advisory</w:t>
      </w:r>
      <w:r>
        <w:t xml:space="preserve"> </w:t>
      </w:r>
      <w:r>
        <w:t xml:space="preserve">Board”</w:t>
      </w:r>
      <w:r>
        <w:t xml:space="preserve">). The Advisory Board is a consultative body composed of</w:t>
      </w:r>
      <w:r>
        <w:t xml:space="preserve"> </w:t>
      </w:r>
      <w:r>
        <w:t xml:space="preserve">subject-matter experts appointed by the Council Chair, on the</w:t>
      </w:r>
      <w:r>
        <w:t xml:space="preserve"> </w:t>
      </w:r>
      <w:r>
        <w:t xml:space="preserve">recommendation of any Member or of The AI Lab, and confirmed</w:t>
      </w:r>
      <w:r>
        <w:t xml:space="preserve"> </w:t>
      </w:r>
      <w:r>
        <w:t xml:space="preserve">by the consensus procedure described in the Charter.</w:t>
      </w:r>
      <w:r>
        <w:t xml:space="preserve"> </w:t>
      </w:r>
      <w:r>
        <w:t xml:space="preserve">Advisors hold no seat on the Council, do not participate in Council</w:t>
      </w:r>
      <w:r>
        <w:t xml:space="preserve"> </w:t>
      </w:r>
      <w:r>
        <w:t xml:space="preserve">votes, and do not direct protocol matters. The Advisory Board’s role</w:t>
      </w:r>
      <w:r>
        <w:t xml:space="preserve"> </w:t>
      </w:r>
      <w:r>
        <w:t xml:space="preserve">is to contribute domain expertise to specific workstreams (including</w:t>
      </w:r>
      <w:r>
        <w:t xml:space="preserve"> </w:t>
      </w:r>
      <w:r>
        <w:t xml:space="preserve">but not limited to cryptography, journalism, public policy, education,</w:t>
      </w:r>
      <w:r>
        <w:t xml:space="preserve"> </w:t>
      </w:r>
      <w:r>
        <w:t xml:space="preserve">regulation, civil society, information security, and content</w:t>
      </w:r>
      <w:r>
        <w:t xml:space="preserve"> </w:t>
      </w:r>
      <w:r>
        <w:t xml:space="preserve">provenance) at the request of the Council or of any Member.</w:t>
      </w:r>
    </w:p>
    <w:p>
      <w:pPr>
        <w:pStyle w:val="BodyText"/>
      </w:pPr>
      <w:r>
        <w:t xml:space="preserve">Advisors serve at the pleasure of the Council Chair for a renewable</w:t>
      </w:r>
      <w:r>
        <w:t xml:space="preserve"> </w:t>
      </w:r>
      <w:r>
        <w:t xml:space="preserve">term of two years and may be removed by the Council Chair without</w:t>
      </w:r>
      <w:r>
        <w:t xml:space="preserve"> </w:t>
      </w:r>
      <w:r>
        <w:t xml:space="preserve">cause or by the consensus procedure described in the Charter for cause defined</w:t>
      </w:r>
      <w:r>
        <w:t xml:space="preserve"> </w:t>
      </w:r>
      <w:r>
        <w:t xml:space="preserve">under Section 10.2.4(8). Advisors are bound by the same conflict</w:t>
      </w:r>
      <w:r>
        <w:t xml:space="preserve"> </w:t>
      </w:r>
      <w:r>
        <w:t xml:space="preserve">disclosure obligations as Members and shall recuse from any</w:t>
      </w:r>
      <w:r>
        <w:t xml:space="preserve"> </w:t>
      </w:r>
      <w:r>
        <w:t xml:space="preserve">workstream in which they hold a direct or indirect financial or</w:t>
      </w:r>
      <w:r>
        <w:t xml:space="preserve"> </w:t>
      </w:r>
      <w:r>
        <w:t xml:space="preserve">personal interest.</w:t>
      </w:r>
    </w:p>
    <w:p>
      <w:pPr>
        <w:pStyle w:val="BodyText"/>
      </w:pPr>
      <w:r>
        <w:t xml:space="preserve">The constitution of the Advisory Board at the date of publication of</w:t>
      </w:r>
      <w:r>
        <w:t xml:space="preserve"> </w:t>
      </w:r>
      <w:r>
        <w:t xml:space="preserve">this whitepaper is:</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Advisor</w:t>
            </w:r>
          </w:p>
        </w:tc>
        <w:tc>
          <w:tcPr/>
          <w:p>
            <w:pPr>
              <w:pStyle w:val="Compact"/>
            </w:pPr>
            <w:r>
              <w:t xml:space="preserve">Capacity</w:t>
            </w:r>
          </w:p>
        </w:tc>
        <w:tc>
          <w:tcPr/>
          <w:p>
            <w:pPr>
              <w:pStyle w:val="Compact"/>
            </w:pPr>
            <w:r>
              <w:t xml:space="preserve">Affiliation</w:t>
            </w:r>
          </w:p>
        </w:tc>
      </w:tr>
      <w:tr>
        <w:tc>
          <w:tcPr/>
          <w:p>
            <w:pPr>
              <w:pStyle w:val="Compact"/>
            </w:pPr>
            <w:r>
              <w:t xml:space="preserve">John DiVuolo, PMP, ITIL, CISSP</w:t>
            </w:r>
          </w:p>
        </w:tc>
        <w:tc>
          <w:tcPr/>
          <w:p>
            <w:pPr>
              <w:pStyle w:val="Compact"/>
            </w:pPr>
            <w:r>
              <w:t xml:space="preserve">Information security and risk management</w:t>
            </w:r>
          </w:p>
        </w:tc>
        <w:tc>
          <w:tcPr/>
          <w:p>
            <w:pPr>
              <w:pStyle w:val="Compact"/>
            </w:pPr>
            <w:r>
              <w:t xml:space="preserve">Director of Information Security, Rutgers University</w:t>
            </w:r>
          </w:p>
        </w:tc>
      </w:tr>
      <w:tr>
        <w:tc>
          <w:tcPr/>
          <w:p>
            <w:pPr>
              <w:pStyle w:val="Compact"/>
            </w:pPr>
            <w:r>
              <w:t xml:space="preserve">Dale Whittaker</w:t>
            </w:r>
          </w:p>
        </w:tc>
        <w:tc>
          <w:tcPr/>
          <w:p>
            <w:pPr>
              <w:pStyle w:val="Compact"/>
            </w:pPr>
            <w:r>
              <w:t xml:space="preserve">Higher education, philanthropy, and equity-focused artificial intelligence</w:t>
            </w:r>
          </w:p>
        </w:tc>
        <w:tc>
          <w:tcPr/>
          <w:p>
            <w:pPr>
              <w:pStyle w:val="Compact"/>
            </w:pPr>
            <w:r>
              <w:t xml:space="preserve">Advisor and Principal Officer, US Education Research and Development, Gates Foundation</w:t>
            </w:r>
          </w:p>
        </w:tc>
      </w:tr>
      <w:tr>
        <w:tc>
          <w:tcPr/>
          <w:p>
            <w:pPr>
              <w:pStyle w:val="Compact"/>
            </w:pPr>
            <w:r>
              <w:t xml:space="preserve">Nate Angell</w:t>
            </w:r>
          </w:p>
        </w:tc>
        <w:tc>
          <w:tcPr/>
          <w:p>
            <w:pPr>
              <w:pStyle w:val="Compact"/>
            </w:pPr>
            <w:r>
              <w:t xml:space="preserve">Open knowledge, community, and adoption</w:t>
            </w:r>
          </w:p>
        </w:tc>
        <w:tc>
          <w:tcPr/>
          <w:p>
            <w:pPr>
              <w:pStyle w:val="Compact"/>
            </w:pPr>
            <w:r>
              <w:t xml:space="preserve">Founder, Nudgital; formerly Director of Communications and Community, Creative Commons; formerly Director of Marketing, Hypothesis</w:t>
            </w:r>
          </w:p>
        </w:tc>
      </w:tr>
    </w:tbl>
    <w:p>
      <w:pPr>
        <w:pStyle w:val="BodyText"/>
      </w:pPr>
      <w:r>
        <w:t xml:space="preserve">The Advisory Board is expected to expand during the Pre-Genesis</w:t>
      </w:r>
      <w:r>
        <w:t xml:space="preserve"> </w:t>
      </w:r>
      <w:r>
        <w:t xml:space="preserve">Period and the Founding Period as additional workstreams are</w:t>
      </w:r>
      <w:r>
        <w:t xml:space="preserve"> </w:t>
      </w:r>
      <w:r>
        <w:t xml:space="preserve">identified and as additional expertise is required for the orderly</w:t>
      </w:r>
      <w:r>
        <w:t xml:space="preserve"> </w:t>
      </w:r>
      <w:r>
        <w:t xml:space="preserve">governance of the protocol.</w:t>
      </w:r>
    </w:p>
    <w:bookmarkEnd w:id="243"/>
    <w:bookmarkStart w:id="244" w:name="ai-trust-ambassadors-section"/>
    <w:p>
      <w:pPr>
        <w:pStyle w:val="Heading3"/>
      </w:pPr>
      <w:r>
        <w:t xml:space="preserve">10.2.6 AI Trust Ambassadors</w:t>
      </w:r>
    </w:p>
    <w:p>
      <w:pPr>
        <w:pStyle w:val="FirstParagraph"/>
      </w:pPr>
      <w:r>
        <w:t xml:space="preserve">The Council further recognizes a public-advocacy body designated the</w:t>
      </w:r>
      <w:r>
        <w:t xml:space="preserve"> </w:t>
      </w:r>
      <w:r>
        <w:t xml:space="preserve">AI Trust Ambassadors (the</w:t>
      </w:r>
      <w:r>
        <w:t xml:space="preserve"> </w:t>
      </w:r>
      <w:r>
        <w:t xml:space="preserve">“Ambassadors”</w:t>
      </w:r>
      <w:r>
        <w:t xml:space="preserve">). Ambassadors are individuals</w:t>
      </w:r>
      <w:r>
        <w:t xml:space="preserve"> </w:t>
      </w:r>
      <w:r>
        <w:t xml:space="preserve">who carry the mission of the Trust Identity Protocol into the</w:t>
      </w:r>
      <w:r>
        <w:t xml:space="preserve"> </w:t>
      </w:r>
      <w:r>
        <w:t xml:space="preserve">communities, regions, industries, and disciplines they serve.</w:t>
      </w:r>
      <w:r>
        <w:t xml:space="preserve"> </w:t>
      </w:r>
      <w:r>
        <w:t xml:space="preserve">Ambassadors are not Members of the Council, do not steward the</w:t>
      </w:r>
      <w:r>
        <w:t xml:space="preserve"> </w:t>
      </w:r>
      <w:r>
        <w:t xml:space="preserve">protocol, do not advise specific workstreams in the manner of the</w:t>
      </w:r>
      <w:r>
        <w:t xml:space="preserve"> </w:t>
      </w:r>
      <w:r>
        <w:t xml:space="preserve">Advisory Board, and do not hold seats. The Ambassador function is</w:t>
      </w:r>
      <w:r>
        <w:t xml:space="preserve"> </w:t>
      </w:r>
      <w:r>
        <w:t xml:space="preserve">outward-facing public advocacy in conversations with creators,</w:t>
      </w:r>
      <w:r>
        <w:t xml:space="preserve"> </w:t>
      </w:r>
      <w:r>
        <w:t xml:space="preserve">institutions, regulators, and platforms.</w:t>
      </w:r>
    </w:p>
    <w:p>
      <w:pPr>
        <w:pStyle w:val="BodyText"/>
      </w:pPr>
      <w:r>
        <w:t xml:space="preserve">Ambassadors are nominated by any Council Member, Advisor, or the</w:t>
      </w:r>
      <w:r>
        <w:t xml:space="preserve"> </w:t>
      </w:r>
      <w:r>
        <w:t xml:space="preserve">sole director of The AI Lab, reviewed by the Council Chair, and</w:t>
      </w:r>
      <w:r>
        <w:t xml:space="preserve"> </w:t>
      </w:r>
      <w:r>
        <w:t xml:space="preserve">confirmed by the consensus procedure described in the Charter. Ambassadors serve renewable two-year terms and may be</w:t>
      </w:r>
      <w:r>
        <w:t xml:space="preserve"> </w:t>
      </w:r>
      <w:r>
        <w:t xml:space="preserve">removed by the Council Chair without cause. Ambassadors are bound by</w:t>
      </w:r>
      <w:r>
        <w:t xml:space="preserve"> </w:t>
      </w:r>
      <w:r>
        <w:t xml:space="preserve">a code of conduct published by the Council and may not bind the</w:t>
      </w:r>
      <w:r>
        <w:t xml:space="preserve"> </w:t>
      </w:r>
      <w:r>
        <w:t xml:space="preserve">Council, the Advisory Board, or The AI Lab without prior written</w:t>
      </w:r>
      <w:r>
        <w:t xml:space="preserve"> </w:t>
      </w:r>
      <w:r>
        <w:t xml:space="preserve">authorization.</w:t>
      </w:r>
    </w:p>
    <w:p>
      <w:pPr>
        <w:pStyle w:val="BodyText"/>
      </w:pPr>
      <w:r>
        <w:t xml:space="preserve">The Ambassador roster is established during the Pre-Genesis Period</w:t>
      </w:r>
      <w:r>
        <w:t xml:space="preserve"> </w:t>
      </w:r>
      <w:r>
        <w:t xml:space="preserve">and the early Founding Period and is published, with annual updates,</w:t>
      </w:r>
      <w:r>
        <w:t xml:space="preserve"> </w:t>
      </w:r>
      <w:r>
        <w:t xml:space="preserve">at theailab.org/ai-trust-council.</w:t>
      </w:r>
    </w:p>
    <w:bookmarkEnd w:id="244"/>
    <w:bookmarkStart w:id="245" w:name="activation-and-network-period-transition"/>
    <w:p>
      <w:pPr>
        <w:pStyle w:val="Heading3"/>
      </w:pPr>
      <w:r>
        <w:t xml:space="preserve">10.2.7 Activation and Network Period transition</w:t>
      </w:r>
    </w:p>
    <w:p>
      <w:pPr>
        <w:pStyle w:val="FirstParagraph"/>
      </w:pPr>
      <w:r>
        <w:t xml:space="preserve">The Charter takes effect on the publication date of this whitepaper.</w:t>
      </w:r>
      <w:r>
        <w:t xml:space="preserve"> </w:t>
      </w:r>
      <w:r>
        <w:t xml:space="preserve">The Council holds its first plenary session within sixty days. At the</w:t>
      </w:r>
      <w:r>
        <w:t xml:space="preserve"> </w:t>
      </w:r>
      <w:r>
        <w:t xml:space="preserve">conclusion of the Founding Period, the Council reauthorizes itself under</w:t>
      </w:r>
      <w:r>
        <w:t xml:space="preserve"> </w:t>
      </w:r>
      <w:r>
        <w:t xml:space="preserve">a renewed Charter expanding membership to include representatives</w:t>
      </w:r>
      <w:r>
        <w:t xml:space="preserve"> </w:t>
      </w:r>
      <w:r>
        <w:t xml:space="preserve">of Node Operators, Verification Providers, publishers, civil society</w:t>
      </w:r>
      <w:r>
        <w:t xml:space="preserve"> </w:t>
      </w:r>
      <w:r>
        <w:t xml:space="preserve">organizations, and academic institutions, with the Founder Seat</w:t>
      </w:r>
      <w:r>
        <w:t xml:space="preserve"> </w:t>
      </w:r>
      <w:r>
        <w:t xml:space="preserve">preserved and the ex officio CEO observer seat preserved.</w:t>
      </w:r>
    </w:p>
    <w:bookmarkEnd w:id="245"/>
    <w:bookmarkEnd w:id="246"/>
    <w:bookmarkStart w:id="250" w:name="tipcl-1.0-license-summary"/>
    <w:p>
      <w:pPr>
        <w:pStyle w:val="Heading2"/>
      </w:pPr>
      <w:r>
        <w:t xml:space="preserve">10.3 TIPCL-1.0 License Summary</w:t>
      </w:r>
    </w:p>
    <w:p>
      <w:pPr>
        <w:pStyle w:val="FirstParagraph"/>
      </w:pPr>
      <w:r>
        <w:t xml:space="preserve">The TIP Protocol Code License, Version 1.0 (“TIPCL-1.0”), is the</w:t>
      </w:r>
      <w:r>
        <w:t xml:space="preserve"> </w:t>
      </w:r>
      <w:r>
        <w:t xml:space="preserve">license under which implementations of the technical framework described</w:t>
      </w:r>
      <w:r>
        <w:t xml:space="preserve"> </w:t>
      </w:r>
      <w:r>
        <w:t xml:space="preserve">in this whitepaper are governed. TIPCL-1.0 is published in its entirety</w:t>
      </w:r>
      <w:r>
        <w:t xml:space="preserve"> </w:t>
      </w:r>
      <w:r>
        <w:t xml:space="preserve">at theailab.org/tip-license and is incorporated by reference as Appendix</w:t>
      </w:r>
      <w:r>
        <w:t xml:space="preserve"> </w:t>
      </w:r>
      <w:r>
        <w:t xml:space="preserve">F. The summary in this Section is provided for the convenience of the</w:t>
      </w:r>
      <w:r>
        <w:t xml:space="preserve"> </w:t>
      </w:r>
      <w:r>
        <w:t xml:space="preserve">reader and does not modify the operative text of TIPCL-1.0.</w:t>
      </w:r>
    </w:p>
    <w:bookmarkStart w:id="247" w:name="free-tier-eligibility"/>
    <w:p>
      <w:pPr>
        <w:pStyle w:val="Heading3"/>
      </w:pPr>
      <w:r>
        <w:t xml:space="preserve">10.3.1 Free Tier eligibility</w:t>
      </w:r>
    </w:p>
    <w:p>
      <w:pPr>
        <w:pStyle w:val="FirstParagraph"/>
      </w:pPr>
      <w:r>
        <w:t xml:space="preserve">A license under TIPCL-1.0 is granted on a no-fee basis to the</w:t>
      </w:r>
      <w:r>
        <w:t xml:space="preserve"> </w:t>
      </w:r>
      <w:r>
        <w:t xml:space="preserve">following categories of person and entity (the “Free Tier”):</w:t>
      </w:r>
    </w:p>
    <w:p>
      <w:pPr>
        <w:pStyle w:val="Compact"/>
        <w:numPr>
          <w:ilvl w:val="0"/>
          <w:numId w:val="1022"/>
        </w:numPr>
      </w:pPr>
      <w:r>
        <w:t xml:space="preserve">Individual natural persons with annual gross revenue below one</w:t>
      </w:r>
      <w:r>
        <w:t xml:space="preserve"> </w:t>
      </w:r>
      <w:r>
        <w:t xml:space="preserve">hundred thousand United States dollars (US$100,000).</w:t>
      </w:r>
    </w:p>
    <w:p>
      <w:pPr>
        <w:pStyle w:val="Compact"/>
        <w:numPr>
          <w:ilvl w:val="0"/>
          <w:numId w:val="1022"/>
        </w:numPr>
      </w:pPr>
      <w:r>
        <w:t xml:space="preserve">Small businesses, however organized, with annual gross revenue below</w:t>
      </w:r>
      <w:r>
        <w:t xml:space="preserve"> </w:t>
      </w:r>
      <w:r>
        <w:t xml:space="preserve">one hundred thousand United States dollars (US$100,000).</w:t>
      </w:r>
    </w:p>
    <w:p>
      <w:pPr>
        <w:pStyle w:val="Compact"/>
        <w:numPr>
          <w:ilvl w:val="0"/>
          <w:numId w:val="1022"/>
        </w:numPr>
      </w:pPr>
      <w:r>
        <w:t xml:space="preserve">Nonprofit organizations, non-governmental organizations, and</w:t>
      </w:r>
      <w:r>
        <w:t xml:space="preserve"> </w:t>
      </w:r>
      <w:r>
        <w:t xml:space="preserve">registered charities, irrespective of revenue.</w:t>
      </w:r>
    </w:p>
    <w:p>
      <w:pPr>
        <w:pStyle w:val="Compact"/>
        <w:numPr>
          <w:ilvl w:val="0"/>
          <w:numId w:val="1022"/>
        </w:numPr>
      </w:pPr>
      <w:r>
        <w:t xml:space="preserve">Educational institutions, irrespective of revenue.</w:t>
      </w:r>
    </w:p>
    <w:p>
      <w:pPr>
        <w:pStyle w:val="Compact"/>
        <w:numPr>
          <w:ilvl w:val="0"/>
          <w:numId w:val="1022"/>
        </w:numPr>
      </w:pPr>
      <w:r>
        <w:t xml:space="preserve">Government entities at any level, irrespective of revenue.</w:t>
      </w:r>
    </w:p>
    <w:p>
      <w:pPr>
        <w:pStyle w:val="Compact"/>
        <w:numPr>
          <w:ilvl w:val="0"/>
          <w:numId w:val="1022"/>
        </w:numPr>
      </w:pPr>
      <w:r>
        <w:t xml:space="preserve">Journalism organizations, for editorial use only, irrespective of</w:t>
      </w:r>
      <w:r>
        <w:t xml:space="preserve"> </w:t>
      </w:r>
      <w:r>
        <w:t xml:space="preserve">revenue.</w:t>
      </w:r>
    </w:p>
    <w:p>
      <w:pPr>
        <w:pStyle w:val="Compact"/>
        <w:numPr>
          <w:ilvl w:val="0"/>
          <w:numId w:val="1022"/>
        </w:numPr>
      </w:pPr>
      <w:r>
        <w:t xml:space="preserve">Research and development or testing within the per-organization user</w:t>
      </w:r>
      <w:r>
        <w:t xml:space="preserve"> </w:t>
      </w:r>
      <w:r>
        <w:t xml:space="preserve">count and duration ceilings published from time to time by The AI Lab at</w:t>
      </w:r>
      <w:r>
        <w:t xml:space="preserve"> </w:t>
      </w:r>
      <w:r>
        <w:t xml:space="preserve">theailab.org/tip-license.</w:t>
      </w:r>
    </w:p>
    <w:p>
      <w:pPr>
        <w:pStyle w:val="FirstParagraph"/>
      </w:pPr>
      <w:r>
        <w:t xml:space="preserve">The Free Tier is the canonical no-fee threshold. References in any</w:t>
      </w:r>
      <w:r>
        <w:t xml:space="preserve"> </w:t>
      </w:r>
      <w:r>
        <w:t xml:space="preserve">prior publication, draft, or third-party summary to a Free Tier ceiling</w:t>
      </w:r>
      <w:r>
        <w:t xml:space="preserve"> </w:t>
      </w:r>
      <w:r>
        <w:t xml:space="preserve">other than US$100,000, including any reference to a US$500,000 figure,</w:t>
      </w:r>
      <w:r>
        <w:t xml:space="preserve"> </w:t>
      </w:r>
      <w:r>
        <w:t xml:space="preserve">are superseded by this Section and by the operative text of</w:t>
      </w:r>
      <w:r>
        <w:t xml:space="preserve"> </w:t>
      </w:r>
      <w:r>
        <w:t xml:space="preserve">TIPCL-1.0.</w:t>
      </w:r>
    </w:p>
    <w:bookmarkEnd w:id="247"/>
    <w:bookmarkStart w:id="248" w:name="commercial-license-tier-schedule"/>
    <w:p>
      <w:pPr>
        <w:pStyle w:val="Heading3"/>
      </w:pPr>
      <w:r>
        <w:t xml:space="preserve">10.3.2 Commercial License tier schedule</w:t>
      </w:r>
    </w:p>
    <w:p>
      <w:pPr>
        <w:pStyle w:val="FirstParagraph"/>
      </w:pPr>
      <w:r>
        <w:t xml:space="preserve">Persons and entities not eligible for the Free Tier require a</w:t>
      </w:r>
      <w:r>
        <w:t xml:space="preserve"> </w:t>
      </w:r>
      <w:r>
        <w:t xml:space="preserve">Commercial License from The AI Lab. The annual fee schedule for</w:t>
      </w:r>
      <w:r>
        <w:t xml:space="preserve"> </w:t>
      </w:r>
      <w:r>
        <w:t xml:space="preserve">Commercial Licenses is as set out below (the “Commercial Tier</w:t>
      </w:r>
      <w:r>
        <w:t xml:space="preserve"> </w:t>
      </w:r>
      <w:r>
        <w:t xml:space="preserve">Schedule”):</w:t>
      </w:r>
    </w:p>
    <w:tbl>
      <w:tblPr>
        <w:tblStyle w:val="Table"/>
        <w:tblW w:type="pct" w:w="5000"/>
        <w:tblLayout w:type="fixed"/>
        <w:tblLook w:firstRow="1" w:lastRow="0" w:firstColumn="0" w:lastColumn="0" w:noHBand="0" w:noVBand="0" w:val="0020"/>
      </w:tblPr>
      <w:tblGrid>
        <w:gridCol w:w="1377"/>
        <w:gridCol w:w="4476"/>
        <w:gridCol w:w="2066"/>
      </w:tblGrid>
      <w:tr>
        <w:trPr>
          <w:tblHeader w:val="on"/>
        </w:trPr>
        <w:tc>
          <w:tcPr/>
          <w:p>
            <w:pPr>
              <w:pStyle w:val="Compact"/>
            </w:pPr>
            <w:r>
              <w:t xml:space="preserve">Tier</w:t>
            </w:r>
          </w:p>
        </w:tc>
        <w:tc>
          <w:tcPr/>
          <w:p>
            <w:pPr>
              <w:pStyle w:val="Compact"/>
            </w:pPr>
            <w:r>
              <w:t xml:space="preserve">Annual revenue band</w:t>
            </w:r>
          </w:p>
        </w:tc>
        <w:tc>
          <w:tcPr/>
          <w:p>
            <w:pPr>
              <w:pStyle w:val="Compact"/>
            </w:pPr>
            <w:r>
              <w:t xml:space="preserve">Annual fee (USD)</w:t>
            </w:r>
          </w:p>
        </w:tc>
      </w:tr>
      <w:tr>
        <w:tc>
          <w:tcPr/>
          <w:p>
            <w:pPr>
              <w:pStyle w:val="Compact"/>
            </w:pPr>
            <w:r>
              <w:t xml:space="preserve">Micro</w:t>
            </w:r>
          </w:p>
        </w:tc>
        <w:tc>
          <w:tcPr/>
          <w:p>
            <w:pPr>
              <w:pStyle w:val="Compact"/>
            </w:pPr>
            <w:r>
              <w:t xml:space="preserve">US$100,000 to US$250,000</w:t>
            </w:r>
          </w:p>
        </w:tc>
        <w:tc>
          <w:tcPr/>
          <w:p>
            <w:pPr>
              <w:pStyle w:val="Compact"/>
            </w:pPr>
            <w:r>
              <w:t xml:space="preserve">US$500</w:t>
            </w:r>
          </w:p>
        </w:tc>
      </w:tr>
      <w:tr>
        <w:tc>
          <w:tcPr/>
          <w:p>
            <w:pPr>
              <w:pStyle w:val="Compact"/>
            </w:pPr>
            <w:r>
              <w:t xml:space="preserve">Seed</w:t>
            </w:r>
          </w:p>
        </w:tc>
        <w:tc>
          <w:tcPr/>
          <w:p>
            <w:pPr>
              <w:pStyle w:val="Compact"/>
            </w:pPr>
            <w:r>
              <w:t xml:space="preserve">US$250,000 to US$500,000</w:t>
            </w:r>
          </w:p>
        </w:tc>
        <w:tc>
          <w:tcPr/>
          <w:p>
            <w:pPr>
              <w:pStyle w:val="Compact"/>
            </w:pPr>
            <w:r>
              <w:t xml:space="preserve">US$1,100</w:t>
            </w:r>
          </w:p>
        </w:tc>
      </w:tr>
      <w:tr>
        <w:tc>
          <w:tcPr/>
          <w:p>
            <w:pPr>
              <w:pStyle w:val="Compact"/>
            </w:pPr>
            <w:r>
              <w:t xml:space="preserve">Starter</w:t>
            </w:r>
          </w:p>
        </w:tc>
        <w:tc>
          <w:tcPr/>
          <w:p>
            <w:pPr>
              <w:pStyle w:val="Compact"/>
            </w:pPr>
            <w:r>
              <w:t xml:space="preserve">US$500,000 to US$5,000,000</w:t>
            </w:r>
          </w:p>
        </w:tc>
        <w:tc>
          <w:tcPr/>
          <w:p>
            <w:pPr>
              <w:pStyle w:val="Compact"/>
            </w:pPr>
            <w:r>
              <w:t xml:space="preserve">US$2,750</w:t>
            </w:r>
          </w:p>
        </w:tc>
      </w:tr>
      <w:tr>
        <w:tc>
          <w:tcPr/>
          <w:p>
            <w:pPr>
              <w:pStyle w:val="Compact"/>
            </w:pPr>
            <w:r>
              <w:t xml:space="preserve">Growth</w:t>
            </w:r>
          </w:p>
        </w:tc>
        <w:tc>
          <w:tcPr/>
          <w:p>
            <w:pPr>
              <w:pStyle w:val="Compact"/>
            </w:pPr>
            <w:r>
              <w:t xml:space="preserve">US$5,000,000 to US$25,000,000</w:t>
            </w:r>
          </w:p>
        </w:tc>
        <w:tc>
          <w:tcPr/>
          <w:p>
            <w:pPr>
              <w:pStyle w:val="Compact"/>
            </w:pPr>
            <w:r>
              <w:t xml:space="preserve">US$8,250</w:t>
            </w:r>
          </w:p>
        </w:tc>
      </w:tr>
      <w:tr>
        <w:tc>
          <w:tcPr/>
          <w:p>
            <w:pPr>
              <w:pStyle w:val="Compact"/>
            </w:pPr>
            <w:r>
              <w:t xml:space="preserve">Business</w:t>
            </w:r>
          </w:p>
        </w:tc>
        <w:tc>
          <w:tcPr/>
          <w:p>
            <w:pPr>
              <w:pStyle w:val="Compact"/>
            </w:pPr>
            <w:r>
              <w:t xml:space="preserve">US$25,000,000 to US$100,000,000</w:t>
            </w:r>
          </w:p>
        </w:tc>
        <w:tc>
          <w:tcPr/>
          <w:p>
            <w:pPr>
              <w:pStyle w:val="Compact"/>
            </w:pPr>
            <w:r>
              <w:t xml:space="preserve">US$27,500</w:t>
            </w:r>
          </w:p>
        </w:tc>
      </w:tr>
      <w:tr>
        <w:tc>
          <w:tcPr/>
          <w:p>
            <w:pPr>
              <w:pStyle w:val="Compact"/>
            </w:pPr>
            <w:r>
              <w:t xml:space="preserve">Enterprise</w:t>
            </w:r>
          </w:p>
        </w:tc>
        <w:tc>
          <w:tcPr/>
          <w:p>
            <w:pPr>
              <w:pStyle w:val="Compact"/>
            </w:pPr>
            <w:r>
              <w:t xml:space="preserve">US$100,000,000 to US$500,000,000</w:t>
            </w:r>
          </w:p>
        </w:tc>
        <w:tc>
          <w:tcPr/>
          <w:p>
            <w:pPr>
              <w:pStyle w:val="Compact"/>
            </w:pPr>
            <w:r>
              <w:t xml:space="preserve">US$71,500</w:t>
            </w:r>
          </w:p>
        </w:tc>
      </w:tr>
      <w:tr>
        <w:tc>
          <w:tcPr/>
          <w:p>
            <w:pPr>
              <w:pStyle w:val="Compact"/>
            </w:pPr>
            <w:r>
              <w:t xml:space="preserve">Corporate</w:t>
            </w:r>
          </w:p>
        </w:tc>
        <w:tc>
          <w:tcPr/>
          <w:p>
            <w:pPr>
              <w:pStyle w:val="Compact"/>
            </w:pPr>
            <w:r>
              <w:t xml:space="preserve">US$500,000,000 to US$2,000,000,000</w:t>
            </w:r>
          </w:p>
        </w:tc>
        <w:tc>
          <w:tcPr/>
          <w:p>
            <w:pPr>
              <w:pStyle w:val="Compact"/>
            </w:pPr>
            <w:r>
              <w:t xml:space="preserve">US$165,000</w:t>
            </w:r>
          </w:p>
        </w:tc>
      </w:tr>
      <w:tr>
        <w:tc>
          <w:tcPr/>
          <w:p>
            <w:pPr>
              <w:pStyle w:val="Compact"/>
            </w:pPr>
            <w:r>
              <w:t xml:space="preserve">Strategic</w:t>
            </w:r>
          </w:p>
        </w:tc>
        <w:tc>
          <w:tcPr/>
          <w:p>
            <w:pPr>
              <w:pStyle w:val="Compact"/>
            </w:pPr>
            <w:r>
              <w:t xml:space="preserve">US$2,000,000,000 to US$10,000,000,000</w:t>
            </w:r>
          </w:p>
        </w:tc>
        <w:tc>
          <w:tcPr/>
          <w:p>
            <w:pPr>
              <w:pStyle w:val="Compact"/>
            </w:pPr>
            <w:r>
              <w:t xml:space="preserve">US$385,000</w:t>
            </w:r>
          </w:p>
        </w:tc>
      </w:tr>
      <w:tr>
        <w:tc>
          <w:tcPr/>
          <w:p>
            <w:pPr>
              <w:pStyle w:val="Compact"/>
            </w:pPr>
            <w:r>
              <w:t xml:space="preserve">Global</w:t>
            </w:r>
          </w:p>
        </w:tc>
        <w:tc>
          <w:tcPr/>
          <w:p>
            <w:pPr>
              <w:pStyle w:val="Compact"/>
            </w:pPr>
            <w:r>
              <w:t xml:space="preserve">US$10,000,000,000 and above</w:t>
            </w:r>
          </w:p>
        </w:tc>
        <w:tc>
          <w:tcPr/>
          <w:p>
            <w:pPr>
              <w:pStyle w:val="Compact"/>
            </w:pPr>
            <w:r>
              <w:t xml:space="preserve">US$550,000</w:t>
            </w:r>
          </w:p>
        </w:tc>
      </w:tr>
    </w:tbl>
    <w:p>
      <w:pPr>
        <w:pStyle w:val="BodyText"/>
      </w:pPr>
      <w:r>
        <w:t xml:space="preserve">The Commercial Tier Schedule is the canonical fee schedule for</w:t>
      </w:r>
      <w:r>
        <w:t xml:space="preserve"> </w:t>
      </w:r>
      <w:r>
        <w:t xml:space="preserve">Commercial Licenses. The fees are uniform across all licensees within</w:t>
      </w:r>
      <w:r>
        <w:t xml:space="preserve"> </w:t>
      </w:r>
      <w:r>
        <w:t xml:space="preserve">each tier, are published in advance, are not negotiated on a</w:t>
      </w:r>
      <w:r>
        <w:t xml:space="preserve"> </w:t>
      </w:r>
      <w:r>
        <w:t xml:space="preserve">per-licensee basis, and are not conditioned on any restriction unrelated</w:t>
      </w:r>
      <w:r>
        <w:t xml:space="preserve"> </w:t>
      </w:r>
      <w:r>
        <w:t xml:space="preserve">to the practice of the Trust Identity Protocol. This structure is</w:t>
      </w:r>
      <w:r>
        <w:t xml:space="preserve"> </w:t>
      </w:r>
      <w:r>
        <w:t xml:space="preserve">designed to comply with fair, reasonable, and non-discriminatory</w:t>
      </w:r>
      <w:r>
        <w:t xml:space="preserve"> </w:t>
      </w:r>
      <w:r>
        <w:t xml:space="preserve">principles applicable to licensing of standardized technologies.</w:t>
      </w:r>
    </w:p>
    <w:p>
      <w:pPr>
        <w:pStyle w:val="BodyText"/>
      </w:pPr>
      <w:r>
        <w:t xml:space="preserve">Tier nomenclature used in prior publications, drafts, or third-party</w:t>
      </w:r>
      <w:r>
        <w:t xml:space="preserve"> </w:t>
      </w:r>
      <w:r>
        <w:t xml:space="preserve">summaries, including the nomenclature “Sentinel,” “Guardian,” “Silver,”</w:t>
      </w:r>
      <w:r>
        <w:t xml:space="preserve"> </w:t>
      </w:r>
      <w:r>
        <w:t xml:space="preserve">“Gold,” and “Platinum,” is retired and is no longer used. The retired</w:t>
      </w:r>
      <w:r>
        <w:t xml:space="preserve"> </w:t>
      </w:r>
      <w:r>
        <w:t xml:space="preserve">names are documented here solely to inform readers of legacy materials</w:t>
      </w:r>
      <w:r>
        <w:t xml:space="preserve"> </w:t>
      </w:r>
      <w:r>
        <w:t xml:space="preserve">that no longer reflect The AI Lab’s licensing schedule.</w:t>
      </w:r>
    </w:p>
    <w:bookmarkEnd w:id="248"/>
    <w:bookmarkStart w:id="249" w:name="grace-period-and-renewal"/>
    <w:p>
      <w:pPr>
        <w:pStyle w:val="Heading3"/>
      </w:pPr>
      <w:r>
        <w:t xml:space="preserve">10.3.3 Grace period and renewal</w:t>
      </w:r>
    </w:p>
    <w:p>
      <w:pPr>
        <w:pStyle w:val="FirstParagraph"/>
      </w:pPr>
      <w:r>
        <w:t xml:space="preserve">A licensee whose annual gross revenue crosses a tier band during a</w:t>
      </w:r>
      <w:r>
        <w:t xml:space="preserve"> </w:t>
      </w:r>
      <w:r>
        <w:t xml:space="preserve">license year is granted a grace period until the end of the then-current</w:t>
      </w:r>
      <w:r>
        <w:t xml:space="preserve"> </w:t>
      </w:r>
      <w:r>
        <w:t xml:space="preserve">license year to obtain a Commercial License at the appropriate tier.</w:t>
      </w:r>
      <w:r>
        <w:t xml:space="preserve"> </w:t>
      </w:r>
      <w:r>
        <w:t xml:space="preserve">Renewal terms are described in the operative text of TIPCL-1.0.</w:t>
      </w:r>
    </w:p>
    <w:bookmarkEnd w:id="249"/>
    <w:bookmarkEnd w:id="250"/>
    <w:bookmarkStart w:id="251" w:name="X22d4c9b2416484cafc6a4f366b399c1bf65522d"/>
    <w:p>
      <w:pPr>
        <w:pStyle w:val="Heading2"/>
      </w:pPr>
      <w:r>
        <w:t xml:space="preserve">10.4 Patent licensing under TIPCL-1.0 Section 8</w:t>
      </w:r>
    </w:p>
    <w:p>
      <w:pPr>
        <w:pStyle w:val="FirstParagraph"/>
      </w:pPr>
      <w:r>
        <w:t xml:space="preserve">The AI Lab has filed five United States provisional patent</w:t>
      </w:r>
      <w:r>
        <w:t xml:space="preserve"> </w:t>
      </w:r>
      <w:r>
        <w:t xml:space="preserve">applications covering the inventions implemented in the Trust</w:t>
      </w:r>
      <w:r>
        <w:t xml:space="preserve"> </w:t>
      </w:r>
      <w:r>
        <w:t xml:space="preserve">Identity Protocol. Dinesh Mendhe is the sole inventor named on all</w:t>
      </w:r>
      <w:r>
        <w:t xml:space="preserve"> </w:t>
      </w:r>
      <w:r>
        <w:t xml:space="preserve">five United States provisional patent applications, and the</w:t>
      </w:r>
      <w:r>
        <w:t xml:space="preserve"> </w:t>
      </w:r>
      <w:r>
        <w:t xml:space="preserve">applications are assigned to The AI Lab Intelligence Unobscured,</w:t>
      </w:r>
      <w:r>
        <w:t xml:space="preserve"> </w:t>
      </w:r>
      <w:r>
        <w:t xml:space="preserve">Inc. The five provisional applications, organized in Claim Groups A</w:t>
      </w:r>
      <w:r>
        <w:t xml:space="preserve"> </w:t>
      </w:r>
      <w:r>
        <w:t xml:space="preserve">through BB, were filed as follows: (1) the foundational TIP Protocol</w:t>
      </w:r>
      <w:r>
        <w:t xml:space="preserve"> </w:t>
      </w:r>
      <w:r>
        <w:t xml:space="preserve">v1.0 application filed March 11, 2026 (Application Number 64/003,066,</w:t>
      </w:r>
      <w:r>
        <w:t xml:space="preserve"> </w:t>
      </w:r>
      <w:r>
        <w:t xml:space="preserve">Claim Groups A through E); (2) the TIP Protocol v2.0 refinements</w:t>
      </w:r>
      <w:r>
        <w:t xml:space="preserve"> </w:t>
      </w:r>
      <w:r>
        <w:t xml:space="preserve">application filed March 14, 2026 (Application Number 64/005,947,</w:t>
      </w:r>
      <w:r>
        <w:t xml:space="preserve"> </w:t>
      </w:r>
      <w:r>
        <w:t xml:space="preserve">Claim Groups F through J); (3) the TIP Protocol v2.0 Content-Layer</w:t>
      </w:r>
      <w:r>
        <w:t xml:space="preserve"> </w:t>
      </w:r>
      <w:r>
        <w:t xml:space="preserve">application filed April 7, 2026 (Application Number 64/031,648,</w:t>
      </w:r>
      <w:r>
        <w:t xml:space="preserve"> </w:t>
      </w:r>
      <w:r>
        <w:t xml:space="preserve">Attorney Docket AILAB-2026-PROV-03, Claim Groups K through P); (4)</w:t>
      </w:r>
      <w:r>
        <w:t xml:space="preserve"> </w:t>
      </w:r>
      <w:r>
        <w:t xml:space="preserve">the TIP Protocol v2.0 Identity-Layer application filed May 5, 2026</w:t>
      </w:r>
      <w:r>
        <w:t xml:space="preserve"> </w:t>
      </w:r>
      <w:r>
        <w:t xml:space="preserve">(Application Number 64/058,152, Attorney Docket AILAB-2026-PROV-04,</w:t>
      </w:r>
      <w:r>
        <w:t xml:space="preserve"> </w:t>
      </w:r>
      <w:r>
        <w:t xml:space="preserve">Claim Groups Q through X, comprising eight inventions); and (5) the</w:t>
      </w:r>
      <w:r>
        <w:t xml:space="preserve"> </w:t>
      </w:r>
      <w:r>
        <w:t xml:space="preserve">TIP Protocol v2.0 Community Verification-Layer application filed</w:t>
      </w:r>
      <w:r>
        <w:t xml:space="preserve"> </w:t>
      </w:r>
      <w:r>
        <w:t xml:space="preserve">May 15, 2026 (Application Number 64/067,319, Claim Groups Y through</w:t>
      </w:r>
      <w:r>
        <w:t xml:space="preserve"> </w:t>
      </w:r>
      <w:r>
        <w:t xml:space="preserve">BB, comprising four inventions). The earliest priority date in the</w:t>
      </w:r>
      <w:r>
        <w:t xml:space="preserve"> </w:t>
      </w:r>
      <w:r>
        <w:t xml:space="preserve">portfolio is March 11, 2026. Collectively, the</w:t>
      </w:r>
      <w:r>
        <w:t xml:space="preserve"> </w:t>
      </w:r>
      <w:r>
        <w:t xml:space="preserve">applications cover the foundational three-layer protocol architecture</w:t>
      </w:r>
      <w:r>
        <w:t xml:space="preserve"> </w:t>
      </w:r>
      <w:r>
        <w:t xml:space="preserve">(TIP-ID, TIP-CONTENT, TIP-TRUST), the four-layer biometric</w:t>
      </w:r>
      <w:r>
        <w:t xml:space="preserve"> </w:t>
      </w:r>
      <w:r>
        <w:t xml:space="preserve">verification stack, the mandatory origin declaration system (OH, AA,</w:t>
      </w:r>
      <w:r>
        <w:t xml:space="preserve"> </w:t>
      </w:r>
      <w:r>
        <w:t xml:space="preserve">AG, MX Origin Codes), the deterministic trust scoring engine, the</w:t>
      </w:r>
      <w:r>
        <w:t xml:space="preserve"> </w:t>
      </w:r>
      <w:r>
        <w:t xml:space="preserve">Canonical Normalization Algorithm (CNA-1 and CNA-2), the dual-mode</w:t>
      </w:r>
      <w:r>
        <w:t xml:space="preserve"> </w:t>
      </w:r>
      <w:r>
        <w:t xml:space="preserve">(Publisher Mode and Creator Mode) verification flow, the content</w:t>
      </w:r>
      <w:r>
        <w:t xml:space="preserve"> </w:t>
      </w:r>
      <w:r>
        <w:t xml:space="preserve">versioning semantics, the content scope extraction mechanism, the</w:t>
      </w:r>
      <w:r>
        <w:t xml:space="preserve"> </w:t>
      </w:r>
      <w:r>
        <w:t xml:space="preserve">multi-layer verification delivery architecture, the content-type</w:t>
      </w:r>
      <w:r>
        <w:t xml:space="preserve"> </w:t>
      </w:r>
      <w:r>
        <w:t xml:space="preserve">extensible normalization framework, the typed identity taxonomy with</w:t>
      </w:r>
      <w:r>
        <w:t xml:space="preserve"> </w:t>
      </w:r>
      <w:r>
        <w:t xml:space="preserve">relational attribution modes, the multi-officer organization</w:t>
      </w:r>
      <w:r>
        <w:t xml:space="preserve"> </w:t>
      </w:r>
      <w:r>
        <w:t xml:space="preserve">governance with platform-hosted content attestation, the</w:t>
      </w:r>
      <w:r>
        <w:t xml:space="preserve"> </w:t>
      </w:r>
      <w:r>
        <w:t xml:space="preserve">centrally-configurable protocol policy framework, the org-scoped</w:t>
      </w:r>
      <w:r>
        <w:t xml:space="preserve"> </w:t>
      </w:r>
      <w:r>
        <w:t xml:space="preserve">contributor registry with multi-author authorship array (CNA-2.2),</w:t>
      </w:r>
      <w:r>
        <w:t xml:space="preserve"> </w:t>
      </w:r>
      <w:r>
        <w:t xml:space="preserve">the multi-model consensus classification with weighted accuracy</w:t>
      </w:r>
      <w:r>
        <w:t xml:space="preserve"> </w:t>
      </w:r>
      <w:r>
        <w:t xml:space="preserve">scoring, the Classification Provider Registry with DAG-anchored</w:t>
      </w:r>
      <w:r>
        <w:t xml:space="preserve"> </w:t>
      </w:r>
      <w:r>
        <w:t xml:space="preserve">accreditation, the two-phase protocol review with private</w:t>
      </w:r>
      <w:r>
        <w:t xml:space="preserve"> </w:t>
      </w:r>
      <w:r>
        <w:t xml:space="preserve">self-correction window and three-step reader verification, and the</w:t>
      </w:r>
      <w:r>
        <w:t xml:space="preserve"> </w:t>
      </w:r>
      <w:r>
        <w:t xml:space="preserve">staking-based community trust verification with reviewer badge</w:t>
      </w:r>
      <w:r>
        <w:t xml:space="preserve"> </w:t>
      </w:r>
      <w:r>
        <w:t xml:space="preserve">progression, together with related inventions. The corresponding</w:t>
      </w:r>
      <w:r>
        <w:t xml:space="preserve"> </w:t>
      </w:r>
      <w:r>
        <w:t xml:space="preserve">non-provisional applications</w:t>
      </w:r>
      <w:r>
        <w:t xml:space="preserve"> </w:t>
      </w:r>
      <w:r>
        <w:t xml:space="preserve">will be filed within the deadlines required by the United States Patent</w:t>
      </w:r>
      <w:r>
        <w:t xml:space="preserve"> </w:t>
      </w:r>
      <w:r>
        <w:t xml:space="preserve">and Trademark Office. International priority will be claimed under</w:t>
      </w:r>
      <w:r>
        <w:t xml:space="preserve"> </w:t>
      </w:r>
      <w:r>
        <w:t xml:space="preserve">Article 4 of the Paris Convention for the Protection of Industrial</w:t>
      </w:r>
      <w:r>
        <w:t xml:space="preserve"> </w:t>
      </w:r>
      <w:r>
        <w:t xml:space="preserve">Property and the Patent Cooperation Treaty.</w:t>
      </w:r>
    </w:p>
    <w:p>
      <w:pPr>
        <w:pStyle w:val="BodyText"/>
      </w:pPr>
      <w:r>
        <w:t xml:space="preserve">TIPCL-1.0 Section 8 grants to every licensee in good standing a</w:t>
      </w:r>
      <w:r>
        <w:t xml:space="preserve"> </w:t>
      </w:r>
      <w:r>
        <w:t xml:space="preserve">royalty-free, non-exclusive, non-transferable license under the issued</w:t>
      </w:r>
      <w:r>
        <w:t xml:space="preserve"> </w:t>
      </w:r>
      <w:r>
        <w:t xml:space="preserve">and pending patent claims of The AI Lab, limited to the practice of the</w:t>
      </w:r>
      <w:r>
        <w:t xml:space="preserve"> </w:t>
      </w:r>
      <w:r>
        <w:t xml:space="preserve">Trust Identity Protocol as described in the canonical TIP Protocol</w:t>
      </w:r>
      <w:r>
        <w:t xml:space="preserve"> </w:t>
      </w:r>
      <w:r>
        <w:t xml:space="preserve">Specification and in this whitepaper. The Section 8 patent license is</w:t>
      </w:r>
      <w:r>
        <w:t xml:space="preserve"> </w:t>
      </w:r>
      <w:r>
        <w:t xml:space="preserve">conditioned on (a) compliance with the operative terms of TIPCL-1.0, (b)</w:t>
      </w:r>
      <w:r>
        <w:t xml:space="preserve"> </w:t>
      </w:r>
      <w:r>
        <w:t xml:space="preserve">attribution of The AI Lab as required by TIPCL-1.0 and by CC BY 4.0 for</w:t>
      </w:r>
      <w:r>
        <w:t xml:space="preserve"> </w:t>
      </w:r>
      <w:r>
        <w:t xml:space="preserve">the underlying specification, and (c) the defensive termination</w:t>
      </w:r>
      <w:r>
        <w:t xml:space="preserve"> </w:t>
      </w:r>
      <w:r>
        <w:t xml:space="preserve">provision of Section 8.</w:t>
      </w:r>
    </w:p>
    <w:p>
      <w:pPr>
        <w:pStyle w:val="BodyText"/>
      </w:pPr>
      <w:r>
        <w:t xml:space="preserve">The defensive termination provision states that the Section 8 patent</w:t>
      </w:r>
      <w:r>
        <w:t xml:space="preserve"> </w:t>
      </w:r>
      <w:r>
        <w:t xml:space="preserve">license terminates automatically with respect to a licensee that</w:t>
      </w:r>
      <w:r>
        <w:t xml:space="preserve"> </w:t>
      </w:r>
      <w:r>
        <w:t xml:space="preserve">initiates patent infringement litigation against The AI Lab or against</w:t>
      </w:r>
      <w:r>
        <w:t xml:space="preserve"> </w:t>
      </w:r>
      <w:r>
        <w:t xml:space="preserve">any other licensee in good standing alleging infringement by the</w:t>
      </w:r>
      <w:r>
        <w:t xml:space="preserve"> </w:t>
      </w:r>
      <w:r>
        <w:t xml:space="preserve">practice of the Trust Identity Protocol. The provision is structured to</w:t>
      </w:r>
      <w:r>
        <w:t xml:space="preserve"> </w:t>
      </w:r>
      <w:r>
        <w:t xml:space="preserve">discourage patent assertion against the protocol community without</w:t>
      </w:r>
      <w:r>
        <w:t xml:space="preserve"> </w:t>
      </w:r>
      <w:r>
        <w:t xml:space="preserve">conferring a right to assert infringement against parties outside the</w:t>
      </w:r>
      <w:r>
        <w:t xml:space="preserve"> </w:t>
      </w:r>
      <w:r>
        <w:t xml:space="preserve">community.</w:t>
      </w:r>
    </w:p>
    <w:bookmarkEnd w:id="251"/>
    <w:bookmarkStart w:id="252" w:name="trademark-policy"/>
    <w:p>
      <w:pPr>
        <w:pStyle w:val="Heading2"/>
      </w:pPr>
      <w:r>
        <w:t xml:space="preserve">10.5 Trademark policy</w:t>
      </w:r>
    </w:p>
    <w:p>
      <w:pPr>
        <w:pStyle w:val="FirstParagraph"/>
      </w:pPr>
      <w:r>
        <w:t xml:space="preserve">The AI Lab maintains trademark applications before the United States</w:t>
      </w:r>
      <w:r>
        <w:t xml:space="preserve"> </w:t>
      </w:r>
      <w:r>
        <w:t xml:space="preserve">Patent and Trademark Office for the marks identified in the following</w:t>
      </w:r>
      <w:r>
        <w:t xml:space="preserve"> </w:t>
      </w:r>
      <w:r>
        <w:t xml:space="preserve">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Mark</w:t>
            </w:r>
          </w:p>
        </w:tc>
        <w:tc>
          <w:tcPr/>
          <w:p>
            <w:pPr>
              <w:pStyle w:val="Compact"/>
            </w:pPr>
            <w:r>
              <w:t xml:space="preserve">USPTO Serial No.</w:t>
            </w:r>
          </w:p>
        </w:tc>
        <w:tc>
          <w:tcPr/>
          <w:p>
            <w:pPr>
              <w:pStyle w:val="Compact"/>
            </w:pPr>
            <w:r>
              <w:t xml:space="preserve">Status</w:t>
            </w:r>
          </w:p>
        </w:tc>
      </w:tr>
      <w:tr>
        <w:tc>
          <w:tcPr/>
          <w:p>
            <w:pPr>
              <w:pStyle w:val="Compact"/>
            </w:pPr>
            <w:r>
              <w:t xml:space="preserve">The AI Lab</w:t>
            </w:r>
          </w:p>
        </w:tc>
        <w:tc>
          <w:tcPr/>
          <w:p>
            <w:pPr>
              <w:pStyle w:val="Compact"/>
            </w:pPr>
            <w:r>
              <w:t xml:space="preserve">99597929</w:t>
            </w:r>
          </w:p>
        </w:tc>
        <w:tc>
          <w:tcPr/>
          <w:p>
            <w:pPr>
              <w:pStyle w:val="Compact"/>
            </w:pPr>
            <w:r>
              <w:t xml:space="preserve">Pending</w:t>
            </w:r>
          </w:p>
        </w:tc>
      </w:tr>
      <w:tr>
        <w:tc>
          <w:tcPr/>
          <w:p>
            <w:pPr>
              <w:pStyle w:val="Compact"/>
            </w:pPr>
            <w:r>
              <w:t xml:space="preserve">Trust Identity Protocol</w:t>
            </w:r>
          </w:p>
        </w:tc>
        <w:tc>
          <w:tcPr/>
          <w:p>
            <w:pPr>
              <w:pStyle w:val="Compact"/>
            </w:pPr>
            <w:r>
              <w:t xml:space="preserve">99603145</w:t>
            </w:r>
          </w:p>
        </w:tc>
        <w:tc>
          <w:tcPr/>
          <w:p>
            <w:pPr>
              <w:pStyle w:val="Compact"/>
            </w:pPr>
            <w:r>
              <w:t xml:space="preserve">Pending</w:t>
            </w:r>
          </w:p>
        </w:tc>
      </w:tr>
      <w:tr>
        <w:tc>
          <w:tcPr/>
          <w:p>
            <w:pPr>
              <w:pStyle w:val="Compact"/>
            </w:pPr>
            <w:r>
              <w:t xml:space="preserve">Global Seal of Trust</w:t>
            </w:r>
          </w:p>
        </w:tc>
        <w:tc>
          <w:tcPr/>
          <w:p>
            <w:pPr>
              <w:pStyle w:val="Compact"/>
            </w:pPr>
            <w:r>
              <w:t xml:space="preserve">99607461</w:t>
            </w:r>
          </w:p>
        </w:tc>
        <w:tc>
          <w:tcPr/>
          <w:p>
            <w:pPr>
              <w:pStyle w:val="Compact"/>
            </w:pPr>
            <w:r>
              <w:t xml:space="preserve">Pending</w:t>
            </w:r>
          </w:p>
        </w:tc>
      </w:tr>
      <w:tr>
        <w:tc>
          <w:tcPr/>
          <w:p>
            <w:pPr>
              <w:pStyle w:val="Compact"/>
            </w:pPr>
            <w:r>
              <w:t xml:space="preserve">AI Trust Council</w:t>
            </w:r>
          </w:p>
        </w:tc>
        <w:tc>
          <w:tcPr/>
          <w:p>
            <w:pPr>
              <w:pStyle w:val="Compact"/>
            </w:pPr>
            <w:r>
              <w:t xml:space="preserve">99749088</w:t>
            </w:r>
          </w:p>
        </w:tc>
        <w:tc>
          <w:tcPr/>
          <w:p>
            <w:pPr>
              <w:pStyle w:val="Compact"/>
            </w:pPr>
            <w:r>
              <w:t xml:space="preserve">Pending</w:t>
            </w:r>
          </w:p>
        </w:tc>
      </w:tr>
    </w:tbl>
    <w:p>
      <w:pPr>
        <w:pStyle w:val="BodyText"/>
      </w:pPr>
      <w:r>
        <w:t xml:space="preserve">The marks are used in commerce by The AI Lab. Use of the marks by</w:t>
      </w:r>
      <w:r>
        <w:t xml:space="preserve"> </w:t>
      </w:r>
      <w:r>
        <w:t xml:space="preserve">licensees, Founding Node Operators, Verification Providers, and other</w:t>
      </w:r>
      <w:r>
        <w:t xml:space="preserve"> </w:t>
      </w:r>
      <w:r>
        <w:t xml:space="preserve">authorized parties is governed by a Trademark Usage Policy published at</w:t>
      </w:r>
      <w:r>
        <w:t xml:space="preserve"> </w:t>
      </w:r>
      <w:r>
        <w:t xml:space="preserve">theailab.org/trademark, available on request from</w:t>
      </w:r>
      <w:r>
        <w:t xml:space="preserve"> </w:t>
      </w:r>
      <w:r>
        <w:rPr>
          <w:rStyle w:val="VerbatimChar"/>
        </w:rPr>
        <w:t xml:space="preserve">legal@theailab.org</w:t>
      </w:r>
      <w:r>
        <w:t xml:space="preserve">. The Trademark Usage Policy describes</w:t>
      </w:r>
      <w:r>
        <w:t xml:space="preserve"> </w:t>
      </w:r>
      <w:r>
        <w:t xml:space="preserve">(a) the permitted forms of nominative fair use, (b) the conditions under</w:t>
      </w:r>
      <w:r>
        <w:t xml:space="preserve"> </w:t>
      </w:r>
      <w:r>
        <w:t xml:space="preserve">which a licensee may describe an implementation as “TIP-compliant” or</w:t>
      </w:r>
      <w:r>
        <w:t xml:space="preserve"> </w:t>
      </w:r>
      <w:r>
        <w:t xml:space="preserve">“Built on the Trust Identity Protocol,” (c) prohibited uses, and (d) the</w:t>
      </w:r>
      <w:r>
        <w:t xml:space="preserve"> </w:t>
      </w:r>
      <w:r>
        <w:t xml:space="preserve">procedure for trademark complaints.</w:t>
      </w:r>
    </w:p>
    <w:p>
      <w:pPr>
        <w:pStyle w:val="BodyText"/>
      </w:pPr>
      <w:r>
        <w:t xml:space="preserve">Authorized parties are required to display the marks with appropriate</w:t>
      </w:r>
      <w:r>
        <w:t xml:space="preserve"> </w:t>
      </w:r>
      <w:r>
        <w:t xml:space="preserve">symbols (™ for marks for which registration is pending, ® for marks for</w:t>
      </w:r>
      <w:r>
        <w:t xml:space="preserve"> </w:t>
      </w:r>
      <w:r>
        <w:t xml:space="preserve">which registration has been granted) on first use in each document,</w:t>
      </w:r>
      <w:r>
        <w:t xml:space="preserve"> </w:t>
      </w:r>
      <w:r>
        <w:t xml:space="preserve">screen, or surface, and to include in such document, screen, or surface</w:t>
      </w:r>
      <w:r>
        <w:t xml:space="preserve"> </w:t>
      </w:r>
      <w:r>
        <w:t xml:space="preserve">a notice that the marks are owned by The AI Lab.</w:t>
      </w:r>
    </w:p>
    <w:p>
      <w:pPr>
        <w:pStyle w:val="BodyText"/>
      </w:pPr>
      <w:r>
        <w:t xml:space="preserve">Nominative fair use of the marks is expressly permitted for the</w:t>
      </w:r>
      <w:r>
        <w:t xml:space="preserve"> </w:t>
      </w:r>
      <w:r>
        <w:t xml:space="preserve">following purposes without prior authorization: (i) reference to the</w:t>
      </w:r>
      <w:r>
        <w:t xml:space="preserve"> </w:t>
      </w:r>
      <w:r>
        <w:t xml:space="preserve">protocol or to The AI Lab by regulators, supervisory authorities,</w:t>
      </w:r>
      <w:r>
        <w:t xml:space="preserve"> </w:t>
      </w:r>
      <w:r>
        <w:t xml:space="preserve">courts, and legislative bodies in the conduct of their official</w:t>
      </w:r>
      <w:r>
        <w:t xml:space="preserve"> </w:t>
      </w:r>
      <w:r>
        <w:t xml:space="preserve">functions; (ii) reference by academic researchers in peer-reviewed</w:t>
      </w:r>
      <w:r>
        <w:t xml:space="preserve"> </w:t>
      </w:r>
      <w:r>
        <w:t xml:space="preserve">publications; (iii) reference by journalists in editorial coverage; and</w:t>
      </w:r>
      <w:r>
        <w:t xml:space="preserve"> </w:t>
      </w:r>
      <w:r>
        <w:t xml:space="preserve">(iv) reference by standards-setting organizations in published</w:t>
      </w:r>
      <w:r>
        <w:t xml:space="preserve"> </w:t>
      </w:r>
      <w:r>
        <w:t xml:space="preserve">standards. Use under this paragraph does not require a license fee or a</w:t>
      </w:r>
      <w:r>
        <w:t xml:space="preserve"> </w:t>
      </w:r>
      <w:r>
        <w:t xml:space="preserve">license agreement, provided that the use is accurate, does not imply</w:t>
      </w:r>
      <w:r>
        <w:t xml:space="preserve"> </w:t>
      </w:r>
      <w:r>
        <w:t xml:space="preserve">endorsement by The AI Lab, and does not modify the marks.</w:t>
      </w:r>
    </w:p>
    <w:bookmarkEnd w:id="252"/>
    <w:bookmarkStart w:id="253" w:name="apache-2.0-conversion-provision"/>
    <w:p>
      <w:pPr>
        <w:pStyle w:val="Heading2"/>
      </w:pPr>
      <w:r>
        <w:t xml:space="preserve">10.6 Apache 2.0 conversion provision</w:t>
      </w:r>
    </w:p>
    <w:p>
      <w:pPr>
        <w:pStyle w:val="FirstParagraph"/>
      </w:pPr>
      <w:r>
        <w:t xml:space="preserve">TIPCL-1.0 contains a self-executing conversion provision that, on</w:t>
      </w:r>
      <w:r>
        <w:t xml:space="preserve"> </w:t>
      </w:r>
      <w:r>
        <w:t xml:space="preserve">January 1, 2031, automatically converts the license under which the</w:t>
      </w:r>
      <w:r>
        <w:t xml:space="preserve"> </w:t>
      </w:r>
      <w:r>
        <w:t xml:space="preserve">canonical TIP Protocol Specification is published from CC BY 4.0 to the</w:t>
      </w:r>
      <w:r>
        <w:t xml:space="preserve"> </w:t>
      </w:r>
      <w:r>
        <w:t xml:space="preserve">Apache License, Version 2.0, and converts the license under which the</w:t>
      </w:r>
      <w:r>
        <w:t xml:space="preserve"> </w:t>
      </w:r>
      <w:r>
        <w:t xml:space="preserve">reference implementations are published from TIPCL-1.0 to the Apache</w:t>
      </w:r>
      <w:r>
        <w:t xml:space="preserve"> </w:t>
      </w:r>
      <w:r>
        <w:t xml:space="preserve">License, Version 2.0.</w:t>
      </w:r>
    </w:p>
    <w:p>
      <w:pPr>
        <w:pStyle w:val="BodyText"/>
      </w:pPr>
      <w:r>
        <w:t xml:space="preserve">The conversion provision is structured to provide a fixed horizon at</w:t>
      </w:r>
      <w:r>
        <w:t xml:space="preserve"> </w:t>
      </w:r>
      <w:r>
        <w:t xml:space="preserve">which the protocol and its reference implementations become available</w:t>
      </w:r>
      <w:r>
        <w:t xml:space="preserve"> </w:t>
      </w:r>
      <w:r>
        <w:t xml:space="preserve">under a permissive open source license, while preserving for the</w:t>
      </w:r>
      <w:r>
        <w:t xml:space="preserve"> </w:t>
      </w:r>
      <w:r>
        <w:t xml:space="preserve">Founding Period and the initial Network Period the licensing</w:t>
      </w:r>
      <w:r>
        <w:t xml:space="preserve"> </w:t>
      </w:r>
      <w:r>
        <w:t xml:space="preserve">architecture necessary to (a) compensate The AI Lab for the research,</w:t>
      </w:r>
      <w:r>
        <w:t xml:space="preserve"> </w:t>
      </w:r>
      <w:r>
        <w:t xml:space="preserve">development, and operational costs of bringing the protocol to</w:t>
      </w:r>
      <w:r>
        <w:t xml:space="preserve"> </w:t>
      </w:r>
      <w:r>
        <w:t xml:space="preserve">operational status, (b) maintain quality and security through Commercial</w:t>
      </w:r>
      <w:r>
        <w:t xml:space="preserve"> </w:t>
      </w:r>
      <w:r>
        <w:t xml:space="preserve">License obligations, and (c) ensure that the protocol does not fragment</w:t>
      </w:r>
      <w:r>
        <w:t xml:space="preserve"> </w:t>
      </w:r>
      <w:r>
        <w:t xml:space="preserve">into incompatible variants before the standards organization engagement</w:t>
      </w:r>
      <w:r>
        <w:t xml:space="preserve"> </w:t>
      </w:r>
      <w:r>
        <w:t xml:space="preserve">described in Section 9.7 has had time to consolidate the canonical</w:t>
      </w:r>
      <w:r>
        <w:t xml:space="preserve"> </w:t>
      </w:r>
      <w:r>
        <w:t xml:space="preserve">specification.</w:t>
      </w:r>
    </w:p>
    <w:p>
      <w:pPr>
        <w:pStyle w:val="BodyText"/>
      </w:pPr>
      <w:r>
        <w:t xml:space="preserve">The conversion does not affect (a) trademark rights of The AI Lab,</w:t>
      </w:r>
      <w:r>
        <w:t xml:space="preserve"> </w:t>
      </w:r>
      <w:r>
        <w:t xml:space="preserve">which are not transferred by the conversion, (b) Commercial License fees</w:t>
      </w:r>
      <w:r>
        <w:t xml:space="preserve"> </w:t>
      </w:r>
      <w:r>
        <w:t xml:space="preserve">accrued and unpaid as of the conversion date, or (c) the AI Trust</w:t>
      </w:r>
      <w:r>
        <w:t xml:space="preserve"> </w:t>
      </w:r>
      <w:r>
        <w:t xml:space="preserve">Council’s role in ratifying protocol changes.</w:t>
      </w:r>
    </w:p>
    <w:bookmarkEnd w:id="253"/>
    <w:bookmarkStart w:id="254" w:name="X0f1282d6c61d6d12abdbe75210e61f336195c05"/>
    <w:p>
      <w:pPr>
        <w:pStyle w:val="Heading2"/>
      </w:pPr>
      <w:r>
        <w:t xml:space="preserve">10.7 Verification Provider role, accreditation, and obligations</w:t>
      </w:r>
    </w:p>
    <w:p>
      <w:pPr>
        <w:pStyle w:val="FirstParagraph"/>
      </w:pPr>
      <w:r>
        <w:t xml:space="preserve">A Verification Provider is an organization accredited by the AI Trust</w:t>
      </w:r>
      <w:r>
        <w:t xml:space="preserve"> </w:t>
      </w:r>
      <w:r>
        <w:t xml:space="preserve">Council, on the recommendation of The AI Lab, under Part IV to issue</w:t>
      </w:r>
      <w:r>
        <w:t xml:space="preserve"> </w:t>
      </w:r>
      <w:r>
        <w:t xml:space="preserve">CTIDs to natural persons and to organizations. Verification Providers</w:t>
      </w:r>
      <w:r>
        <w:t xml:space="preserve"> </w:t>
      </w:r>
      <w:r>
        <w:t xml:space="preserve">operate under written accreditation agreements with The AI Lab.</w:t>
      </w:r>
    </w:p>
    <w:p>
      <w:pPr>
        <w:pStyle w:val="BodyText"/>
      </w:pPr>
      <w:r>
        <w:t xml:space="preserve">The public-facing commitments of a Verification Provider are:</w:t>
      </w:r>
    </w:p>
    <w:p>
      <w:pPr>
        <w:pStyle w:val="Compact"/>
        <w:numPr>
          <w:ilvl w:val="0"/>
          <w:numId w:val="1023"/>
        </w:numPr>
      </w:pPr>
      <w:r>
        <w:t xml:space="preserve">An annual accreditation fee paid to The AI Lab in the amount</w:t>
      </w:r>
      <w:r>
        <w:t xml:space="preserve"> </w:t>
      </w:r>
      <w:r>
        <w:t xml:space="preserve">published from time to time at</w:t>
      </w:r>
      <w:r>
        <w:t xml:space="preserve"> </w:t>
      </w:r>
      <w:r>
        <w:t xml:space="preserve">theailab.org/tip-verification-provider.</w:t>
      </w:r>
    </w:p>
    <w:p>
      <w:pPr>
        <w:pStyle w:val="Compact"/>
        <w:numPr>
          <w:ilvl w:val="0"/>
          <w:numId w:val="1023"/>
        </w:numPr>
      </w:pPr>
      <w:r>
        <w:t xml:space="preserve">An annual independent audit of the Verification Provider’s identity</w:t>
      </w:r>
      <w:r>
        <w:t xml:space="preserve"> </w:t>
      </w:r>
      <w:r>
        <w:t xml:space="preserve">verification practices, conducted by an auditor acceptable to The AI</w:t>
      </w:r>
      <w:r>
        <w:t xml:space="preserve"> </w:t>
      </w:r>
      <w:r>
        <w:t xml:space="preserve">Lab.</w:t>
      </w:r>
    </w:p>
    <w:p>
      <w:pPr>
        <w:pStyle w:val="Compact"/>
        <w:numPr>
          <w:ilvl w:val="0"/>
          <w:numId w:val="1023"/>
        </w:numPr>
      </w:pPr>
      <w:r>
        <w:t xml:space="preserve">The maintenance of a warrant canary published on the Verification</w:t>
      </w:r>
      <w:r>
        <w:t xml:space="preserve"> </w:t>
      </w:r>
      <w:r>
        <w:t xml:space="preserve">Provider’s website, attesting to the absence of compelled disclosure</w:t>
      </w:r>
      <w:r>
        <w:t xml:space="preserve"> </w:t>
      </w:r>
      <w:r>
        <w:t xml:space="preserve">orders received during the reporting period to the extent permitted by</w:t>
      </w:r>
      <w:r>
        <w:t xml:space="preserve"> </w:t>
      </w:r>
      <w:r>
        <w:t xml:space="preserve">the law of the Verification Provider’s jurisdiction.</w:t>
      </w:r>
    </w:p>
    <w:p>
      <w:pPr>
        <w:pStyle w:val="Compact"/>
        <w:numPr>
          <w:ilvl w:val="0"/>
          <w:numId w:val="1023"/>
        </w:numPr>
      </w:pPr>
      <w:r>
        <w:t xml:space="preserve">A jurisdiction declaration identifying the jurisdiction or</w:t>
      </w:r>
      <w:r>
        <w:t xml:space="preserve"> </w:t>
      </w:r>
      <w:r>
        <w:t xml:space="preserve">jurisdictions under which the Verification Provider issues CTIDs and the</w:t>
      </w:r>
      <w:r>
        <w:t xml:space="preserve"> </w:t>
      </w:r>
      <w:r>
        <w:t xml:space="preserve">jurisdictions in which the Verification Provider maintains personal data</w:t>
      </w:r>
      <w:r>
        <w:t xml:space="preserve"> </w:t>
      </w:r>
      <w:r>
        <w:t xml:space="preserve">of CTID holders.</w:t>
      </w:r>
    </w:p>
    <w:p>
      <w:pPr>
        <w:pStyle w:val="Compact"/>
        <w:numPr>
          <w:ilvl w:val="0"/>
          <w:numId w:val="1023"/>
        </w:numPr>
      </w:pPr>
      <w:r>
        <w:t xml:space="preserve">Compliance with applicable data protection law in each jurisdiction</w:t>
      </w:r>
      <w:r>
        <w:t xml:space="preserve"> </w:t>
      </w:r>
      <w:r>
        <w:t xml:space="preserve">in which the Verification Provider operates, including (without</w:t>
      </w:r>
      <w:r>
        <w:t xml:space="preserve"> </w:t>
      </w:r>
      <w:r>
        <w:t xml:space="preserve">limitation) Regulation (EU) 2016/679 (the General Data Protection</w:t>
      </w:r>
      <w:r>
        <w:t xml:space="preserve"> </w:t>
      </w:r>
      <w:r>
        <w:t xml:space="preserve">Regulation), the United Kingdom General Data Protection Regulation, the</w:t>
      </w:r>
      <w:r>
        <w:t xml:space="preserve"> </w:t>
      </w:r>
      <w:r>
        <w:t xml:space="preserve">New Zealand Privacy Act 2020, the Indian Digital Personal Data</w:t>
      </w:r>
      <w:r>
        <w:t xml:space="preserve"> </w:t>
      </w:r>
      <w:r>
        <w:t xml:space="preserve">Protection Act 2023, and applicable state and federal data protection</w:t>
      </w:r>
      <w:r>
        <w:t xml:space="preserve"> </w:t>
      </w:r>
      <w:r>
        <w:t xml:space="preserve">law in the United States.</w:t>
      </w:r>
    </w:p>
    <w:p>
      <w:pPr>
        <w:pStyle w:val="Compact"/>
        <w:numPr>
          <w:ilvl w:val="0"/>
          <w:numId w:val="1023"/>
        </w:numPr>
      </w:pPr>
      <w:r>
        <w:t xml:space="preserve">Where the Verification Provider is established or operates in the</w:t>
      </w:r>
      <w:r>
        <w:t xml:space="preserve"> </w:t>
      </w:r>
      <w:r>
        <w:t xml:space="preserve">European Union and meets the threshold criteria, compliance with</w:t>
      </w:r>
      <w:r>
        <w:t xml:space="preserve"> </w:t>
      </w:r>
      <w:r>
        <w:t xml:space="preserve">Directive (EU) 2022/2555 (the NIS2 Directive) as transposed in the</w:t>
      </w:r>
      <w:r>
        <w:t xml:space="preserve"> </w:t>
      </w:r>
      <w:r>
        <w:t xml:space="preserve">relevant Member State, and registration as a “trust service provider”</w:t>
      </w:r>
      <w:r>
        <w:t xml:space="preserve"> </w:t>
      </w:r>
      <w:r>
        <w:t xml:space="preserve">under Regulation (EU) 910/2014 as amended (eIDAS 2.0) where the</w:t>
      </w:r>
      <w:r>
        <w:t xml:space="preserve"> </w:t>
      </w:r>
      <w:r>
        <w:t xml:space="preserve">Verification Provider elects to issue qualified electronic signatures or</w:t>
      </w:r>
      <w:r>
        <w:t xml:space="preserve"> </w:t>
      </w:r>
      <w:r>
        <w:t xml:space="preserve">qualified electronic attestations of attributes.</w:t>
      </w:r>
    </w:p>
    <w:p>
      <w:pPr>
        <w:pStyle w:val="FirstParagraph"/>
      </w:pPr>
      <w:r>
        <w:t xml:space="preserve">Verification Providers do not issue currency, securities, or other</w:t>
      </w:r>
      <w:r>
        <w:t xml:space="preserve"> </w:t>
      </w:r>
      <w:r>
        <w:t xml:space="preserve">instruments of value. Verification Providers issue identity</w:t>
      </w:r>
      <w:r>
        <w:t xml:space="preserve"> </w:t>
      </w:r>
      <w:r>
        <w:t xml:space="preserve">attestations. The economic terms under which Verification Providers will</w:t>
      </w:r>
      <w:r>
        <w:t xml:space="preserve"> </w:t>
      </w:r>
      <w:r>
        <w:t xml:space="preserve">operate beyond the public-facing commitments set out above are being</w:t>
      </w:r>
      <w:r>
        <w:t xml:space="preserve"> </w:t>
      </w:r>
      <w:r>
        <w:t xml:space="preserve">designed by The AI Lab and the AI Trust Council and are not part of the</w:t>
      </w:r>
      <w:r>
        <w:t xml:space="preserve"> </w:t>
      </w:r>
      <w:r>
        <w:t xml:space="preserve">public launch of the Trust Identity Protocol described in this</w:t>
      </w:r>
      <w:r>
        <w:t xml:space="preserve"> </w:t>
      </w:r>
      <w:r>
        <w:t xml:space="preserve">whitepaper. No representation is made in this whitepaper concerning the</w:t>
      </w:r>
      <w:r>
        <w:t xml:space="preserve"> </w:t>
      </w:r>
      <w:r>
        <w:t xml:space="preserve">future economic terms applicable to Verification Providers, and no</w:t>
      </w:r>
      <w:r>
        <w:t xml:space="preserve"> </w:t>
      </w:r>
      <w:r>
        <w:t xml:space="preserve">licensee, partner, or third party is entitled to rely on any statement,</w:t>
      </w:r>
      <w:r>
        <w:t xml:space="preserve"> </w:t>
      </w:r>
      <w:r>
        <w:t xml:space="preserve">draft, or third-party summary that purports to describe such future</w:t>
      </w:r>
      <w:r>
        <w:t xml:space="preserve"> </w:t>
      </w:r>
      <w:r>
        <w:t xml:space="preserve">economic terms. Inquiries from prospective Verification Providers should</w:t>
      </w:r>
      <w:r>
        <w:t xml:space="preserve"> </w:t>
      </w:r>
      <w:r>
        <w:t xml:space="preserve">be directed to</w:t>
      </w:r>
      <w:r>
        <w:t xml:space="preserve"> </w:t>
      </w:r>
      <w:r>
        <w:rPr>
          <w:rStyle w:val="VerbatimChar"/>
        </w:rPr>
        <w:t xml:space="preserve">licensing@theailab.org</w:t>
      </w:r>
      <w:r>
        <w:t xml:space="preserve">.</w:t>
      </w:r>
    </w:p>
    <w:bookmarkEnd w:id="254"/>
    <w:bookmarkStart w:id="255" w:name="eu-ai-act-classification-posture"/>
    <w:p>
      <w:pPr>
        <w:pStyle w:val="Heading2"/>
      </w:pPr>
      <w:r>
        <w:t xml:space="preserve">10.8 EU AI Act classification posture</w:t>
      </w:r>
    </w:p>
    <w:p>
      <w:pPr>
        <w:pStyle w:val="FirstParagraph"/>
      </w:pPr>
      <w:r>
        <w:t xml:space="preserve">The Trust Identity Protocol is not an “AI system” within the meaning</w:t>
      </w:r>
      <w:r>
        <w:t xml:space="preserve"> </w:t>
      </w:r>
      <w:r>
        <w:t xml:space="preserve">of Article 3(1) of Regulation (EU) 2024/1689 (the “EU AI Act”). The</w:t>
      </w:r>
      <w:r>
        <w:t xml:space="preserve"> </w:t>
      </w:r>
      <w:r>
        <w:t xml:space="preserve">protocol is a cryptographic identity and provenance framework. The core</w:t>
      </w:r>
      <w:r>
        <w:t xml:space="preserve"> </w:t>
      </w:r>
      <w:r>
        <w:t xml:space="preserve">operations of the protocol consist of cryptographic key generation,</w:t>
      </w:r>
      <w:r>
        <w:t xml:space="preserve"> </w:t>
      </w:r>
      <w:r>
        <w:t xml:space="preserve">deterministic content normalization, digital signature production and</w:t>
      </w:r>
      <w:r>
        <w:t xml:space="preserve"> </w:t>
      </w:r>
      <w:r>
        <w:t xml:space="preserve">verification, and the recording of signed events on an append-only</w:t>
      </w:r>
      <w:r>
        <w:t xml:space="preserve"> </w:t>
      </w:r>
      <w:r>
        <w:t xml:space="preserve">directed acyclic graph. These operations do not constitute machine-based</w:t>
      </w:r>
      <w:r>
        <w:t xml:space="preserve"> </w:t>
      </w:r>
      <w:r>
        <w:t xml:space="preserve">systems designed to operate with varying levels of autonomy producing</w:t>
      </w:r>
      <w:r>
        <w:t xml:space="preserve"> </w:t>
      </w:r>
      <w:r>
        <w:t xml:space="preserve">outputs that influence physical or virtual environments within the</w:t>
      </w:r>
      <w:r>
        <w:t xml:space="preserve"> </w:t>
      </w:r>
      <w:r>
        <w:t xml:space="preserve">meaning of Article 3(1).</w:t>
      </w:r>
    </w:p>
    <w:p>
      <w:pPr>
        <w:pStyle w:val="BodyText"/>
      </w:pPr>
      <w:r>
        <w:t xml:space="preserve">Three operational components of the protocol carry AI elements and</w:t>
      </w:r>
      <w:r>
        <w:t xml:space="preserve"> </w:t>
      </w:r>
      <w:r>
        <w:t xml:space="preserve">are addressed below.</w:t>
      </w:r>
    </w:p>
    <w:p>
      <w:pPr>
        <w:pStyle w:val="BodyText"/>
      </w:pPr>
      <w:r>
        <w:rPr>
          <w:b/>
          <w:bCs/>
        </w:rPr>
        <w:t xml:space="preserve">Biometric verification under TIP-ID.</w:t>
      </w:r>
      <w:r>
        <w:t xml:space="preserve"> </w:t>
      </w:r>
      <w:r>
        <w:t xml:space="preserve">The optional</w:t>
      </w:r>
      <w:r>
        <w:t xml:space="preserve"> </w:t>
      </w:r>
      <w:r>
        <w:t xml:space="preserve">biometric binding of a CTID to a natural person using a WebAuthn</w:t>
      </w:r>
      <w:r>
        <w:t xml:space="preserve"> </w:t>
      </w:r>
      <w:r>
        <w:t xml:space="preserve">resident key authenticator is biometric</w:t>
      </w:r>
      <w:r>
        <w:t xml:space="preserve"> </w:t>
      </w:r>
      <w:r>
        <w:rPr>
          <w:b/>
          <w:bCs/>
        </w:rPr>
        <w:t xml:space="preserve">verification</w:t>
      </w:r>
      <w:r>
        <w:t xml:space="preserve"> </w:t>
      </w:r>
      <w:r>
        <w:t xml:space="preserve">(one-to-one comparison against a template held on the user’s device) and</w:t>
      </w:r>
      <w:r>
        <w:t xml:space="preserve"> </w:t>
      </w:r>
      <w:r>
        <w:t xml:space="preserve">is not biometric</w:t>
      </w:r>
      <w:r>
        <w:t xml:space="preserve"> </w:t>
      </w:r>
      <w:r>
        <w:rPr>
          <w:b/>
          <w:bCs/>
        </w:rPr>
        <w:t xml:space="preserve">identification</w:t>
      </w:r>
      <w:r>
        <w:t xml:space="preserve"> </w:t>
      </w:r>
      <w:r>
        <w:t xml:space="preserve">(one-to-many comparison</w:t>
      </w:r>
      <w:r>
        <w:t xml:space="preserve"> </w:t>
      </w:r>
      <w:r>
        <w:t xml:space="preserve">against a database). Annex III, paragraph 1, of the EU AI Act applies to</w:t>
      </w:r>
      <w:r>
        <w:t xml:space="preserve"> </w:t>
      </w:r>
      <w:r>
        <w:t xml:space="preserve">biometric identification systems. Biometric verification systems are</w:t>
      </w:r>
      <w:r>
        <w:t xml:space="preserve"> </w:t>
      </w:r>
      <w:r>
        <w:t xml:space="preserve">excluded from Annex III by virtue of the definition of “biometric</w:t>
      </w:r>
      <w:r>
        <w:t xml:space="preserve"> </w:t>
      </w:r>
      <w:r>
        <w:t xml:space="preserve">identification” in Article 3(34) and the clarification in Recital 54.</w:t>
      </w:r>
      <w:r>
        <w:t xml:space="preserve"> </w:t>
      </w:r>
      <w:r>
        <w:t xml:space="preserve">The TIP-ID biometric binding component is therefore not high-risk under</w:t>
      </w:r>
      <w:r>
        <w:t xml:space="preserve"> </w:t>
      </w:r>
      <w:r>
        <w:t xml:space="preserve">the EU AI Act.</w:t>
      </w:r>
    </w:p>
    <w:p>
      <w:pPr>
        <w:pStyle w:val="BodyText"/>
      </w:pPr>
      <w:r>
        <w:rPr>
          <w:b/>
          <w:bCs/>
        </w:rPr>
        <w:t xml:space="preserve">AI-assisted dispute pre-classification.</w:t>
      </w:r>
      <w:r>
        <w:t xml:space="preserve"> </w:t>
      </w:r>
      <w:r>
        <w:t xml:space="preserve">Reference</w:t>
      </w:r>
      <w:r>
        <w:t xml:space="preserve"> </w:t>
      </w:r>
      <w:r>
        <w:t xml:space="preserve">implementations of the dispute adjudication path described in Part VI</w:t>
      </w:r>
      <w:r>
        <w:t xml:space="preserve"> </w:t>
      </w:r>
      <w:r>
        <w:t xml:space="preserve">permit the optional use of machine-learning models for the preliminary</w:t>
      </w:r>
      <w:r>
        <w:t xml:space="preserve"> </w:t>
      </w:r>
      <w:r>
        <w:t xml:space="preserve">classification of disputes prior to assignment to a bonded jury. The</w:t>
      </w:r>
      <w:r>
        <w:t xml:space="preserve"> </w:t>
      </w:r>
      <w:r>
        <w:t xml:space="preserve">final determination is made by bonded human jurors in accordance with</w:t>
      </w:r>
      <w:r>
        <w:t xml:space="preserve"> </w:t>
      </w:r>
      <w:r>
        <w:t xml:space="preserve">the rules set out in Part VI. The human-in-the-loop requirement is</w:t>
      </w:r>
      <w:r>
        <w:t xml:space="preserve"> </w:t>
      </w:r>
      <w:r>
        <w:t xml:space="preserve">structural, not advisory, and supplies the human oversight required by</w:t>
      </w:r>
      <w:r>
        <w:t xml:space="preserve"> </w:t>
      </w:r>
      <w:r>
        <w:t xml:space="preserve">Article 14 of the EU AI Act for any AI component that might otherwise be</w:t>
      </w:r>
      <w:r>
        <w:t xml:space="preserve"> </w:t>
      </w:r>
      <w:r>
        <w:t xml:space="preserve">characterized as high-risk.</w:t>
      </w:r>
    </w:p>
    <w:p>
      <w:pPr>
        <w:pStyle w:val="BodyText"/>
      </w:pPr>
      <w:r>
        <w:rPr>
          <w:b/>
          <w:bCs/>
        </w:rPr>
        <w:t xml:space="preserve">Trust Score computation.</w:t>
      </w:r>
      <w:r>
        <w:t xml:space="preserve"> </w:t>
      </w:r>
      <w:r>
        <w:t xml:space="preserve">The Trust Score described</w:t>
      </w:r>
      <w:r>
        <w:t xml:space="preserve"> </w:t>
      </w:r>
      <w:r>
        <w:t xml:space="preserve">in Part VI is the aggregated output of four sub-scores (Cryptographic,</w:t>
      </w:r>
      <w:r>
        <w:t xml:space="preserve"> </w:t>
      </w:r>
      <w:r>
        <w:t xml:space="preserve">Behavioral, Adjudicated, Network) computed by deterministic rules. The</w:t>
      </w:r>
      <w:r>
        <w:t xml:space="preserve"> </w:t>
      </w:r>
      <w:r>
        <w:t xml:space="preserve">Trust Score evaluates content authenticity and operator behavior within</w:t>
      </w:r>
      <w:r>
        <w:t xml:space="preserve"> </w:t>
      </w:r>
      <w:r>
        <w:t xml:space="preserve">the protocol context. It does not classify natural persons by their</w:t>
      </w:r>
      <w:r>
        <w:t xml:space="preserve"> </w:t>
      </w:r>
      <w:r>
        <w:t xml:space="preserve">social behavior, personality, or personal characteristics across</w:t>
      </w:r>
      <w:r>
        <w:t xml:space="preserve"> </w:t>
      </w:r>
      <w:r>
        <w:t xml:space="preserve">contexts unrelated to the data’s original collection. The Trust Score is</w:t>
      </w:r>
      <w:r>
        <w:t xml:space="preserve"> </w:t>
      </w:r>
      <w:r>
        <w:t xml:space="preserve">therefore not a “social scoring” system within the meaning of Article</w:t>
      </w:r>
      <w:r>
        <w:t xml:space="preserve"> </w:t>
      </w:r>
      <w:r>
        <w:t xml:space="preserve">5(1)(c) of the EU AI Act. The AI Lab and the AI Trust Council will</w:t>
      </w:r>
      <w:r>
        <w:t xml:space="preserve"> </w:t>
      </w:r>
      <w:r>
        <w:t xml:space="preserve">publish, with each protocol release, a notice expressly disclaiming</w:t>
      </w:r>
      <w:r>
        <w:t xml:space="preserve"> </w:t>
      </w:r>
      <w:r>
        <w:t xml:space="preserve">social scoring use cases and identifying the protocol’s intended</w:t>
      </w:r>
      <w:r>
        <w:t xml:space="preserve"> </w:t>
      </w:r>
      <w:r>
        <w:t xml:space="preserve">uses.</w:t>
      </w:r>
    </w:p>
    <w:p>
      <w:pPr>
        <w:pStyle w:val="BodyText"/>
      </w:pPr>
      <w:r>
        <w:t xml:space="preserve">The Trust Identity Protocol is structured to supply the</w:t>
      </w:r>
      <w:r>
        <w:t xml:space="preserve"> </w:t>
      </w:r>
      <w:r>
        <w:t xml:space="preserve">machine-readable marking and disclosure mechanisms contemplated by</w:t>
      </w:r>
      <w:r>
        <w:t xml:space="preserve"> </w:t>
      </w:r>
      <w:r>
        <w:t xml:space="preserve">Article 50 of the EU AI Act. CNA-2.2 produces deterministic content</w:t>
      </w:r>
      <w:r>
        <w:t xml:space="preserve"> </w:t>
      </w:r>
      <w:r>
        <w:t xml:space="preserve">fingerprints suitable for inclusion as machine-readable marking under</w:t>
      </w:r>
      <w:r>
        <w:t xml:space="preserve"> </w:t>
      </w:r>
      <w:r>
        <w:t xml:space="preserve">Article 50(2). The Origin Code system (codes OH, AA, AG, MX) supplies</w:t>
      </w:r>
      <w:r>
        <w:t xml:space="preserve"> </w:t>
      </w:r>
      <w:r>
        <w:t xml:space="preserve">machine-readable identification of artificially generated or manipulated</w:t>
      </w:r>
      <w:r>
        <w:t xml:space="preserve"> </w:t>
      </w:r>
      <w:r>
        <w:t xml:space="preserve">content. The Global Seal of Trust and the reader-facing badge supply the</w:t>
      </w:r>
      <w:r>
        <w:t xml:space="preserve"> </w:t>
      </w:r>
      <w:r>
        <w:t xml:space="preserve">human-readable disclosure contemplated by Article 50(4).</w:t>
      </w:r>
    </w:p>
    <w:p>
      <w:pPr>
        <w:pStyle w:val="BodyText"/>
      </w:pPr>
      <w:r>
        <w:t xml:space="preserve">The AI Trust Council is structured to be the kind of</w:t>
      </w:r>
      <w:r>
        <w:t xml:space="preserve"> </w:t>
      </w:r>
      <w:r>
        <w:t xml:space="preserve">multi-stakeholder body contemplated by Article 95 of the EU AI Act. The</w:t>
      </w:r>
      <w:r>
        <w:t xml:space="preserve"> </w:t>
      </w:r>
      <w:r>
        <w:t xml:space="preserve">AI Lab and the Council will, at an appropriate time after the</w:t>
      </w:r>
      <w:r>
        <w:t xml:space="preserve"> </w:t>
      </w:r>
      <w:r>
        <w:t xml:space="preserve">publication of this whitepaper, engage with the European AI Office</w:t>
      </w:r>
      <w:r>
        <w:t xml:space="preserve"> </w:t>
      </w:r>
      <w:r>
        <w:t xml:space="preserve">concerning recognition of the protocol’s governance regime as a</w:t>
      </w:r>
      <w:r>
        <w:t xml:space="preserve"> </w:t>
      </w:r>
      <w:r>
        <w:t xml:space="preserve">voluntary code of conduct under Article 95.</w:t>
      </w:r>
    </w:p>
    <w:bookmarkEnd w:id="255"/>
    <w:bookmarkStart w:id="256" w:name="Xb2f8faa88e2539f47d8269f47f59cf4db88cadd"/>
    <w:p>
      <w:pPr>
        <w:pStyle w:val="Heading2"/>
      </w:pPr>
      <w:r>
        <w:t xml:space="preserve">10.9 Cross-jurisdictional governance commitments</w:t>
      </w:r>
    </w:p>
    <w:p>
      <w:pPr>
        <w:pStyle w:val="FirstParagraph"/>
      </w:pPr>
      <w:r>
        <w:t xml:space="preserve">In furtherance of the cross-jurisdictional operation of the Trust</w:t>
      </w:r>
      <w:r>
        <w:t xml:space="preserve"> </w:t>
      </w:r>
      <w:r>
        <w:t xml:space="preserve">Identity Protocol, The AI Lab makes the following commitments:</w:t>
      </w:r>
    </w:p>
    <w:p>
      <w:pPr>
        <w:numPr>
          <w:ilvl w:val="0"/>
          <w:numId w:val="1024"/>
        </w:numPr>
      </w:pPr>
      <w:r>
        <w:rPr>
          <w:b/>
          <w:bCs/>
        </w:rPr>
        <w:t xml:space="preserve">AI literacy.</w:t>
      </w:r>
      <w:r>
        <w:t xml:space="preserve"> </w:t>
      </w:r>
      <w:r>
        <w:t xml:space="preserve">The AI Lab will maintain a written</w:t>
      </w:r>
      <w:r>
        <w:t xml:space="preserve"> </w:t>
      </w:r>
      <w:r>
        <w:t xml:space="preserve">AI literacy program for its officers, employees, and consultants</w:t>
      </w:r>
      <w:r>
        <w:t xml:space="preserve"> </w:t>
      </w:r>
      <w:r>
        <w:t xml:space="preserve">consistent with the requirements of Article 4 of the EU AI Act. Founding</w:t>
      </w:r>
      <w:r>
        <w:t xml:space="preserve"> </w:t>
      </w:r>
      <w:r>
        <w:t xml:space="preserve">Node Operator Agreements and Verification Provider accreditation</w:t>
      </w:r>
      <w:r>
        <w:t xml:space="preserve"> </w:t>
      </w:r>
      <w:r>
        <w:t xml:space="preserve">agreements include an AI literacy clause requiring the counterparty to</w:t>
      </w:r>
      <w:r>
        <w:t xml:space="preserve"> </w:t>
      </w:r>
      <w:r>
        <w:t xml:space="preserve">maintain an analogous program for its personnel involved in the</w:t>
      </w:r>
      <w:r>
        <w:t xml:space="preserve"> </w:t>
      </w:r>
      <w:r>
        <w:t xml:space="preserve">operation of the protocol.</w:t>
      </w:r>
    </w:p>
    <w:p>
      <w:pPr>
        <w:numPr>
          <w:ilvl w:val="0"/>
          <w:numId w:val="1024"/>
        </w:numPr>
      </w:pPr>
      <w:r>
        <w:rPr>
          <w:b/>
          <w:bCs/>
        </w:rPr>
        <w:t xml:space="preserve">EU Authorized Representative.</w:t>
      </w:r>
      <w:r>
        <w:t xml:space="preserve"> </w:t>
      </w:r>
      <w:r>
        <w:t xml:space="preserve">If, on a future</w:t>
      </w:r>
      <w:r>
        <w:t xml:space="preserve"> </w:t>
      </w:r>
      <w:r>
        <w:t xml:space="preserve">application of the EU AI Act to any component of the protocol, The AI</w:t>
      </w:r>
      <w:r>
        <w:t xml:space="preserve"> </w:t>
      </w:r>
      <w:r>
        <w:t xml:space="preserve">Lab is required by Article 22 of the EU AI Act to designate an</w:t>
      </w:r>
      <w:r>
        <w:t xml:space="preserve"> </w:t>
      </w:r>
      <w:r>
        <w:t xml:space="preserve">authorized representative in the European Union, The AI Lab will</w:t>
      </w:r>
      <w:r>
        <w:t xml:space="preserve"> </w:t>
      </w:r>
      <w:r>
        <w:t xml:space="preserve">designate such a representative and will publish the designation on</w:t>
      </w:r>
      <w:r>
        <w:t xml:space="preserve"> </w:t>
      </w:r>
      <w:r>
        <w:t xml:space="preserve">theailab.org.</w:t>
      </w:r>
    </w:p>
    <w:p>
      <w:pPr>
        <w:numPr>
          <w:ilvl w:val="0"/>
          <w:numId w:val="1024"/>
        </w:numPr>
      </w:pPr>
      <w:r>
        <w:rPr>
          <w:b/>
          <w:bCs/>
        </w:rPr>
        <w:t xml:space="preserve">AI Office engagement.</w:t>
      </w:r>
      <w:r>
        <w:t xml:space="preserve"> </w:t>
      </w:r>
      <w:r>
        <w:t xml:space="preserve">The AI Lab will, through</w:t>
      </w:r>
      <w:r>
        <w:t xml:space="preserve"> </w:t>
      </w:r>
      <w:r>
        <w:t xml:space="preserve">the AI Trust Council, engage with the European AI Office concerning (i)</w:t>
      </w:r>
      <w:r>
        <w:t xml:space="preserve"> </w:t>
      </w:r>
      <w:r>
        <w:t xml:space="preserve">recognition of the AI Trust Council as a multi-stakeholder body under</w:t>
      </w:r>
      <w:r>
        <w:t xml:space="preserve"> </w:t>
      </w:r>
      <w:r>
        <w:t xml:space="preserve">Article 95 of the EU AI Act, and (ii) the conformance of the protocol</w:t>
      </w:r>
      <w:r>
        <w:t xml:space="preserve"> </w:t>
      </w:r>
      <w:r>
        <w:t xml:space="preserve">with Articles 50(2) and 50(4) of the EU AI Act.</w:t>
      </w:r>
    </w:p>
    <w:p>
      <w:pPr>
        <w:numPr>
          <w:ilvl w:val="0"/>
          <w:numId w:val="1024"/>
        </w:numPr>
      </w:pPr>
      <w:r>
        <w:rPr>
          <w:b/>
          <w:bCs/>
        </w:rPr>
        <w:t xml:space="preserve">Standards organization engagement.</w:t>
      </w:r>
      <w:r>
        <w:t xml:space="preserve"> </w:t>
      </w:r>
      <w:r>
        <w:t xml:space="preserve">The AI Lab</w:t>
      </w:r>
      <w:r>
        <w:t xml:space="preserve"> </w:t>
      </w:r>
      <w:r>
        <w:t xml:space="preserve">will, through the AI Trust Council, pursue engagement with the</w:t>
      </w:r>
      <w:r>
        <w:t xml:space="preserve"> </w:t>
      </w:r>
      <w:r>
        <w:t xml:space="preserve">International Organization for Standardization Joint Technical Committee</w:t>
      </w:r>
      <w:r>
        <w:t xml:space="preserve"> </w:t>
      </w:r>
      <w:r>
        <w:t xml:space="preserve">1 Subcommittee 27 (ISO/IEC JTC 1/SC 27), the World Wide Web Consortium</w:t>
      </w:r>
      <w:r>
        <w:t xml:space="preserve"> </w:t>
      </w:r>
      <w:r>
        <w:t xml:space="preserve">(W3C), the Internet Engineering Task Force (IETF), and the European</w:t>
      </w:r>
      <w:r>
        <w:t xml:space="preserve"> </w:t>
      </w:r>
      <w:r>
        <w:t xml:space="preserve">Telecommunications Standards Institute (ETSI) concerning the development</w:t>
      </w:r>
      <w:r>
        <w:t xml:space="preserve"> </w:t>
      </w:r>
      <w:r>
        <w:t xml:space="preserve">of international standards for content provenance and verifiable</w:t>
      </w:r>
      <w:r>
        <w:t xml:space="preserve"> </w:t>
      </w:r>
      <w:r>
        <w:t xml:space="preserve">identity infrastructure.</w:t>
      </w:r>
    </w:p>
    <w:p>
      <w:pPr>
        <w:numPr>
          <w:ilvl w:val="0"/>
          <w:numId w:val="1024"/>
        </w:numPr>
      </w:pPr>
      <w:r>
        <w:rPr>
          <w:b/>
          <w:bCs/>
        </w:rPr>
        <w:t xml:space="preserve">Council of Europe Framework Convention on AI.</w:t>
      </w:r>
      <w:r>
        <w:t xml:space="preserve"> </w:t>
      </w:r>
      <w:r>
        <w:t xml:space="preserve">The protocol is designed to support the human rights, democracy, and</w:t>
      </w:r>
      <w:r>
        <w:t xml:space="preserve"> </w:t>
      </w:r>
      <w:r>
        <w:t xml:space="preserve">rule of law principles set out in the Council of Europe Framework</w:t>
      </w:r>
      <w:r>
        <w:t xml:space="preserve"> </w:t>
      </w:r>
      <w:r>
        <w:t xml:space="preserve">Convention on Artificial Intelligence and Human Rights, Democracy and</w:t>
      </w:r>
      <w:r>
        <w:t xml:space="preserve"> </w:t>
      </w:r>
      <w:r>
        <w:t xml:space="preserve">the Rule of Law (CETS No. 225, opened for signature September 5,</w:t>
      </w:r>
      <w:r>
        <w:t xml:space="preserve"> </w:t>
      </w:r>
      <w:r>
        <w:t xml:space="preserve">2024).</w:t>
      </w:r>
    </w:p>
    <w:p>
      <w:pPr>
        <w:numPr>
          <w:ilvl w:val="0"/>
          <w:numId w:val="1024"/>
        </w:numPr>
      </w:pPr>
      <w:r>
        <w:rPr>
          <w:b/>
          <w:bCs/>
        </w:rPr>
        <w:t xml:space="preserve">Conditional commitments.</w:t>
      </w:r>
      <w:r>
        <w:t xml:space="preserve"> </w:t>
      </w:r>
      <w:r>
        <w:t xml:space="preserve">The commitments in this</w:t>
      </w:r>
      <w:r>
        <w:t xml:space="preserve"> </w:t>
      </w:r>
      <w:r>
        <w:t xml:space="preserve">Section 10.9 are made in good faith and are conditional on (i) the</w:t>
      </w:r>
      <w:r>
        <w:t xml:space="preserve"> </w:t>
      </w:r>
      <w:r>
        <w:t xml:space="preserve">continued operation of the protocol, (ii) the absence of material</w:t>
      </w:r>
      <w:r>
        <w:t xml:space="preserve"> </w:t>
      </w:r>
      <w:r>
        <w:t xml:space="preserve">adverse change in the regulatory landscape that would render any</w:t>
      </w:r>
      <w:r>
        <w:t xml:space="preserve"> </w:t>
      </w:r>
      <w:r>
        <w:t xml:space="preserve">commitment infeasible or unlawful, and (iii) the receipt by The AI Lab</w:t>
      </w:r>
      <w:r>
        <w:t xml:space="preserve"> </w:t>
      </w:r>
      <w:r>
        <w:t xml:space="preserve">of sufficient cooperation from the relevant regulators, standards</w:t>
      </w:r>
      <w:r>
        <w:t xml:space="preserve"> </w:t>
      </w:r>
      <w:r>
        <w:t xml:space="preserve">organizations, and counterparties.</w:t>
      </w:r>
    </w:p>
    <w:p>
      <w:r>
        <w:pict>
          <v:rect style="width:0;height:1.5pt" o:hralign="center" o:hrstd="t" o:hr="t"/>
        </w:pict>
      </w:r>
    </w:p>
    <w:p>
      <w:pPr>
        <w:pStyle w:val="FirstParagraph"/>
      </w:pPr>
      <w:r>
        <w:rPr>
          <w:b/>
          <w:bCs/>
        </w:rPr>
        <w:t xml:space="preserve">Contact The AI Lab</w:t>
      </w:r>
    </w:p>
    <w:p>
      <w:pPr>
        <w:pStyle w:val="BodyText"/>
      </w:pPr>
      <w:r>
        <w:t xml:space="preserve">Licensing and Commercial Implementation:</w:t>
      </w:r>
      <w:r>
        <w:t xml:space="preserve"> </w:t>
      </w:r>
      <w:r>
        <w:rPr>
          <w:rStyle w:val="VerbatimChar"/>
        </w:rPr>
        <w:t xml:space="preserve">licensing@theailab.org</w:t>
      </w:r>
      <w:r>
        <w:t xml:space="preserve">, theailab.org/tip-license Founding</w:t>
      </w:r>
      <w:r>
        <w:t xml:space="preserve"> </w:t>
      </w:r>
      <w:r>
        <w:t xml:space="preserve">Node Operator Applications:</w:t>
      </w:r>
      <w:r>
        <w:t xml:space="preserve"> </w:t>
      </w:r>
      <w:r>
        <w:rPr>
          <w:rStyle w:val="VerbatimChar"/>
        </w:rPr>
        <w:t xml:space="preserve">nodes@theailab.org</w:t>
      </w:r>
      <w:r>
        <w:t xml:space="preserve"> </w:t>
      </w:r>
      <w:r>
        <w:t xml:space="preserve">,</w:t>
      </w:r>
      <w:r>
        <w:t xml:space="preserve"> </w:t>
      </w:r>
      <w:r>
        <w:t xml:space="preserve">theailab.org/founding-node AI Trust Council Membership:</w:t>
      </w:r>
      <w:r>
        <w:t xml:space="preserve"> </w:t>
      </w:r>
      <w:r>
        <w:rPr>
          <w:rStyle w:val="VerbatimChar"/>
        </w:rPr>
        <w:t xml:space="preserve">council@theailab.org</w:t>
      </w:r>
      <w:r>
        <w:t xml:space="preserve">, theailab.org/ai-trust-council</w:t>
      </w:r>
      <w:r>
        <w:t xml:space="preserve"> </w:t>
      </w:r>
      <w:r>
        <w:t xml:space="preserve">Verification Provider Accreditation:</w:t>
      </w:r>
      <w:r>
        <w:t xml:space="preserve"> </w:t>
      </w:r>
      <w:r>
        <w:rPr>
          <w:rStyle w:val="VerbatimChar"/>
        </w:rPr>
        <w:t xml:space="preserve">licensing@theailab.org</w:t>
      </w:r>
      <w:r>
        <w:t xml:space="preserve"> </w:t>
      </w:r>
      <w:r>
        <w:t xml:space="preserve">, theailab.org/tip-verification-provider General Counsel:</w:t>
      </w:r>
      <w:r>
        <w:t xml:space="preserve"> </w:t>
      </w:r>
      <w:r>
        <w:rPr>
          <w:rStyle w:val="VerbatimChar"/>
        </w:rPr>
        <w:t xml:space="preserve">legal@theailab.org</w:t>
      </w:r>
      <w:r>
        <w:t xml:space="preserve"> </w:t>
      </w:r>
      <w:r>
        <w:t xml:space="preserve">Press and Public Affairs:</w:t>
      </w:r>
      <w:r>
        <w:t xml:space="preserve"> </w:t>
      </w:r>
      <w:r>
        <w:rPr>
          <w:rStyle w:val="VerbatimChar"/>
        </w:rPr>
        <w:t xml:space="preserve">press@theailab.org</w:t>
      </w:r>
    </w:p>
    <w:p>
      <w:pPr>
        <w:pStyle w:val="BodyText"/>
      </w:pPr>
      <w:r>
        <w:t xml:space="preserve">The AI Lab Intelligence Unobscured, Inc. Wilmington, Delaware, United</w:t>
      </w:r>
      <w:r>
        <w:t xml:space="preserve"> </w:t>
      </w:r>
      <w:r>
        <w:t xml:space="preserve">States.</w:t>
      </w:r>
    </w:p>
    <w:bookmarkEnd w:id="256"/>
    <w:bookmarkEnd w:id="257"/>
    <w:bookmarkStart w:id="266" w:name="Xe3c3d7d2d79aa674957816e342f33ce9d80ef32"/>
    <w:p>
      <w:pPr>
        <w:pStyle w:val="Heading1"/>
      </w:pPr>
      <w:r>
        <w:t xml:space="preserve">Part XI: Roadmap and Forward-Looking Statements</w:t>
      </w:r>
    </w:p>
    <w:p>
      <w:pPr>
        <w:pStyle w:val="FirstParagraph"/>
      </w:pPr>
      <w:r>
        <w:t xml:space="preserve">This Part identifies the operational milestones achieved by The AI</w:t>
      </w:r>
      <w:r>
        <w:t xml:space="preserve"> </w:t>
      </w:r>
      <w:r>
        <w:t xml:space="preserve">Lab and the Trust Identity Protocol as of the publication date of this</w:t>
      </w:r>
      <w:r>
        <w:t xml:space="preserve"> </w:t>
      </w:r>
      <w:r>
        <w:t xml:space="preserve">whitepaper, the milestones planned for the twelve-month,</w:t>
      </w:r>
      <w:r>
        <w:t xml:space="preserve"> </w:t>
      </w:r>
      <w:r>
        <w:t xml:space="preserve">twenty-four-month, and thirty-six-month horizons that follow, the</w:t>
      </w:r>
      <w:r>
        <w:t xml:space="preserve"> </w:t>
      </w:r>
      <w:r>
        <w:t xml:space="preserve">principal material risks bearing on the achievement of those milestones,</w:t>
      </w:r>
      <w:r>
        <w:t xml:space="preserve"> </w:t>
      </w:r>
      <w:r>
        <w:t xml:space="preserve">and the conditions on which the transition from the Founding Period to</w:t>
      </w:r>
      <w:r>
        <w:t xml:space="preserve"> </w:t>
      </w:r>
      <w:r>
        <w:t xml:space="preserve">the Network Period and the corresponding reauthorization of the AI Trust</w:t>
      </w:r>
      <w:r>
        <w:t xml:space="preserve"> </w:t>
      </w:r>
      <w:r>
        <w:t xml:space="preserve">Council are conditioned.</w:t>
      </w:r>
    </w:p>
    <w:p>
      <w:pPr>
        <w:pStyle w:val="BodyText"/>
      </w:pPr>
      <w:r>
        <w:t xml:space="preserve">Statements in this Part concerning future events, plans, or</w:t>
      </w:r>
      <w:r>
        <w:t xml:space="preserve"> </w:t>
      </w:r>
      <w:r>
        <w:t xml:space="preserve">operational targets are forward-looking statements within the meaning of</w:t>
      </w:r>
      <w:r>
        <w:t xml:space="preserve"> </w:t>
      </w:r>
      <w:r>
        <w:t xml:space="preserve">Appendix J Section J.7. Such statements are based on the present</w:t>
      </w:r>
      <w:r>
        <w:t xml:space="preserve"> </w:t>
      </w:r>
      <w:r>
        <w:t xml:space="preserve">expectations of The AI Lab and are subject to risks and uncertainties,</w:t>
      </w:r>
      <w:r>
        <w:t xml:space="preserve"> </w:t>
      </w:r>
      <w:r>
        <w:t xml:space="preserve">many of which are outside the control of The AI Lab. Actual results may</w:t>
      </w:r>
      <w:r>
        <w:t xml:space="preserve"> </w:t>
      </w:r>
      <w:r>
        <w:t xml:space="preserve">differ materially from those projected. The AI Lab undertakes no</w:t>
      </w:r>
      <w:r>
        <w:t xml:space="preserve"> </w:t>
      </w:r>
      <w:r>
        <w:t xml:space="preserve">obligation to update or revise any forward-looking statement except as</w:t>
      </w:r>
      <w:r>
        <w:t xml:space="preserve"> </w:t>
      </w:r>
      <w:r>
        <w:t xml:space="preserve">may be required by applicable law. The reader is referred to Appendix J</w:t>
      </w:r>
      <w:r>
        <w:t xml:space="preserve"> </w:t>
      </w:r>
      <w:r>
        <w:t xml:space="preserve">for the full safe harbor.</w:t>
      </w:r>
    </w:p>
    <w:bookmarkStart w:id="259" w:name="operational-milestones-to-date"/>
    <w:p>
      <w:pPr>
        <w:pStyle w:val="Heading2"/>
      </w:pPr>
      <w:r>
        <w:t xml:space="preserve">11.1 Operational milestones to date</w:t>
      </w:r>
    </w:p>
    <w:p>
      <w:pPr>
        <w:pStyle w:val="FirstParagraph"/>
      </w:pPr>
      <w:r>
        <w:t xml:space="preserve">The following milestones have been achieved by The AI Lab and the</w:t>
      </w:r>
      <w:r>
        <w:t xml:space="preserve"> </w:t>
      </w:r>
      <w:r>
        <w:t xml:space="preserve">Trust Identity Protocol as of the publication date of this</w:t>
      </w:r>
      <w:r>
        <w:t xml:space="preserve"> </w:t>
      </w:r>
      <w:r>
        <w:t xml:space="preserve">whitepaper.</w:t>
      </w:r>
    </w:p>
    <w:p>
      <w:pPr>
        <w:pStyle w:val="BodyText"/>
      </w:pPr>
      <w:r>
        <w:rPr>
          <w:b/>
          <w:bCs/>
        </w:rPr>
        <w:t xml:space="preserve">January 28, 2026.</w:t>
      </w:r>
      <w:r>
        <w:t xml:space="preserve"> </w:t>
      </w:r>
      <w:r>
        <w:t xml:space="preserve">Incorporation of The AI Lab</w:t>
      </w:r>
      <w:r>
        <w:t xml:space="preserve"> </w:t>
      </w:r>
      <w:r>
        <w:t xml:space="preserve">Intelligence Unobscured, Inc. in the State of Delaware.</w:t>
      </w:r>
    </w:p>
    <w:p>
      <w:pPr>
        <w:pStyle w:val="BodyText"/>
      </w:pPr>
      <w:r>
        <w:rPr>
          <w:b/>
          <w:bCs/>
        </w:rPr>
        <w:t xml:space="preserve">February through April 2026.</w:t>
      </w:r>
      <w:r>
        <w:t xml:space="preserve"> </w:t>
      </w:r>
      <w:r>
        <w:t xml:space="preserve">Drafting of the</w:t>
      </w:r>
      <w:r>
        <w:t xml:space="preserve"> </w:t>
      </w:r>
      <w:r>
        <w:t xml:space="preserve">canonical TIP Protocol Specification through versions v1.0 (internal),</w:t>
      </w:r>
      <w:r>
        <w:t xml:space="preserve"> </w:t>
      </w:r>
      <w:r>
        <w:t xml:space="preserve">v2.0, v3.0 (filed with the United States Copyright Office, Case</w:t>
      </w:r>
      <w:r>
        <w:t xml:space="preserve"> </w:t>
      </w:r>
      <w:r>
        <w:t xml:space="preserve">1-15116205291, pending), and v4.0.</w:t>
      </w:r>
    </w:p>
    <w:p>
      <w:pPr>
        <w:pStyle w:val="BodyText"/>
      </w:pPr>
      <w:r>
        <w:rPr>
          <w:b/>
          <w:bCs/>
        </w:rPr>
        <w:t xml:space="preserve">May 3, 2026.</w:t>
      </w:r>
      <w:r>
        <w:t xml:space="preserve"> </w:t>
      </w:r>
      <w:r>
        <w:t xml:space="preserve">Restructuring of The AI Lab corporate</w:t>
      </w:r>
      <w:r>
        <w:t xml:space="preserve"> </w:t>
      </w:r>
      <w:r>
        <w:t xml:space="preserve">documents to align with the pre-Genesis operational posture.</w:t>
      </w:r>
    </w:p>
    <w:p>
      <w:pPr>
        <w:pStyle w:val="BodyText"/>
      </w:pPr>
      <w:r>
        <w:rPr>
          <w:b/>
          <w:bCs/>
        </w:rPr>
        <w:t xml:space="preserve">May 12, 2026.</w:t>
      </w:r>
      <w:r>
        <w:t xml:space="preserve"> </w:t>
      </w:r>
      <w:r>
        <w:t xml:space="preserve">Filing of the Amended and Restated</w:t>
      </w:r>
      <w:r>
        <w:t xml:space="preserve"> </w:t>
      </w:r>
      <w:r>
        <w:t xml:space="preserve">Certificate of Incorporation establishing the dual-class capital</w:t>
      </w:r>
      <w:r>
        <w:t xml:space="preserve"> </w:t>
      </w:r>
      <w:r>
        <w:t xml:space="preserve">structure (Class A and Class B Common Stock, ten-to-one voting ratio)</w:t>
      </w:r>
      <w:r>
        <w:t xml:space="preserve"> </w:t>
      </w:r>
      <w:r>
        <w:t xml:space="preserve">(Delaware Service Request No. 20262490401). Adoption of the 2026 Stock</w:t>
      </w:r>
      <w:r>
        <w:t xml:space="preserve"> </w:t>
      </w:r>
      <w:r>
        <w:t xml:space="preserve">Plan authorizing the issuance of up to 750,000 shares of Class B Common</w:t>
      </w:r>
      <w:r>
        <w:t xml:space="preserve"> </w:t>
      </w:r>
      <w:r>
        <w:t xml:space="preserve">Stock.</w:t>
      </w:r>
    </w:p>
    <w:p>
      <w:pPr>
        <w:pStyle w:val="BodyText"/>
      </w:pPr>
      <w:r>
        <w:rPr>
          <w:b/>
          <w:bCs/>
        </w:rPr>
        <w:t xml:space="preserve">June 1, 2026.</w:t>
      </w:r>
      <w:r>
        <w:t xml:space="preserve"> </w:t>
      </w:r>
      <w:r>
        <w:t xml:space="preserve">Publication of the canonical TIP</w:t>
      </w:r>
      <w:r>
        <w:t xml:space="preserve"> </w:t>
      </w:r>
      <w:r>
        <w:t xml:space="preserve">Protocol Specification v5.0 under Creative Commons Attribution 4.0</w:t>
      </w:r>
      <w:r>
        <w:t xml:space="preserve"> </w:t>
      </w:r>
      <w:r>
        <w:t xml:space="preserve">International License and filing with the United States Copyright Office</w:t>
      </w:r>
      <w:r>
        <w:t xml:space="preserve"> </w:t>
      </w:r>
      <w:r>
        <w:t xml:space="preserve">(Case 1-15175755931, pending) as a derivative work referencing the prior</w:t>
      </w:r>
      <w:r>
        <w:t xml:space="preserve"> </w:t>
      </w:r>
      <w:r>
        <w:t xml:space="preserve">v3.0 filing.</w:t>
      </w:r>
    </w:p>
    <w:p>
      <w:pPr>
        <w:pStyle w:val="BodyText"/>
      </w:pPr>
      <w:r>
        <w:rPr>
          <w:b/>
          <w:bCs/>
        </w:rPr>
        <w:t xml:space="preserve">June 2026.</w:t>
      </w:r>
      <w:r>
        <w:t xml:space="preserve"> </w:t>
      </w:r>
      <w:r>
        <w:t xml:space="preserve">Execution of Founding Node Operator</w:t>
      </w:r>
      <w:r>
        <w:t xml:space="preserve"> </w:t>
      </w:r>
      <w:r>
        <w:t xml:space="preserve">Agreements with the seven signed Founding Node Operators identified</w:t>
      </w:r>
      <w:r>
        <w:t xml:space="preserve"> </w:t>
      </w:r>
      <w:r>
        <w:t xml:space="preserve">in Part VII Section 7.3.1 (THE PRESCIENT PACHYDERM LTD, AZLogics</w:t>
      </w:r>
      <w:r>
        <w:t xml:space="preserve"> </w:t>
      </w:r>
      <w:r>
        <w:t xml:space="preserve">Private Limited, Apex Modular Solutions LLC, Timpi International Ltd,</w:t>
      </w:r>
      <w:r>
        <w:t xml:space="preserve"> </w:t>
      </w:r>
      <w:r>
        <w:t xml:space="preserve">Lonestar Data Holdings Inc., 6Simplex Software Solutions Pvt Ltd, and</w:t>
      </w:r>
      <w:r>
        <w:t xml:space="preserve"> </w:t>
      </w:r>
      <w:r>
        <w:t xml:space="preserve">The AI Lab Intelligence Unobscured, Inc.), and accession in progress</w:t>
      </w:r>
      <w:r>
        <w:t xml:space="preserve"> </w:t>
      </w:r>
      <w:r>
        <w:t xml:space="preserve">for three further Founding Node Operators (Marist University, Rutgers</w:t>
      </w:r>
      <w:r>
        <w:t xml:space="preserve"> </w:t>
      </w:r>
      <w:r>
        <w:t xml:space="preserve">University, and The Core / BOOM FactCheck), upon countersignature of</w:t>
      </w:r>
      <w:r>
        <w:t xml:space="preserve"> </w:t>
      </w:r>
      <w:r>
        <w:t xml:space="preserve">the Founding Node Operator Agreement. Each signed Founding Node</w:t>
      </w:r>
      <w:r>
        <w:t xml:space="preserve"> </w:t>
      </w:r>
      <w:r>
        <w:t xml:space="preserve">Operator stands up a Full Node deployment in pre-Genesis operating</w:t>
      </w:r>
      <w:r>
        <w:t xml:space="preserve"> </w:t>
      </w:r>
      <w:r>
        <w:t xml:space="preserve">mode.</w:t>
      </w:r>
    </w:p>
    <w:p>
      <w:pPr>
        <w:pStyle w:val="BodyText"/>
      </w:pPr>
      <w:r>
        <w:rPr>
          <w:b/>
          <w:bCs/>
        </w:rPr>
        <w:t xml:space="preserve">June 2026.</w:t>
      </w:r>
      <w:r>
        <w:t xml:space="preserve"> </w:t>
      </w:r>
      <w:r>
        <w:t xml:space="preserve">Ratification by the sole director of The</w:t>
      </w:r>
      <w:r>
        <w:t xml:space="preserve"> </w:t>
      </w:r>
      <w:r>
        <w:t xml:space="preserve">AI Lab of the AI Trust Council Charter establishing the independent</w:t>
      </w:r>
      <w:r>
        <w:t xml:space="preserve"> </w:t>
      </w:r>
      <w:r>
        <w:t xml:space="preserve">multi-stakeholder governance body described in Part X Section 10.2.</w:t>
      </w:r>
    </w:p>
    <w:p>
      <w:pPr>
        <w:pStyle w:val="BodyText"/>
      </w:pPr>
      <w:r>
        <w:rPr>
          <w:b/>
          <w:bCs/>
        </w:rPr>
        <w:t xml:space="preserve">June 2026.</w:t>
      </w:r>
      <w:r>
        <w:t xml:space="preserve"> </w:t>
      </w:r>
      <w:r>
        <w:t xml:space="preserve">Publication of this whitepaper.</w:t>
      </w:r>
      <w:r>
        <w:t xml:space="preserve"> </w:t>
      </w:r>
      <w:r>
        <w:t xml:space="preserve">Commencement of the Pre-Genesis Period.</w:t>
      </w:r>
    </w:p>
    <w:p>
      <w:pPr>
        <w:pStyle w:val="BodyText"/>
      </w:pPr>
      <w:r>
        <w:rPr>
          <w:b/>
          <w:bCs/>
        </w:rPr>
        <w:t xml:space="preserve">June 2026, Genesis Date.</w:t>
      </w:r>
      <w:r>
        <w:t xml:space="preserve"> </w:t>
      </w:r>
      <w:r>
        <w:t xml:space="preserve">Adoption by the sole</w:t>
      </w:r>
      <w:r>
        <w:t xml:space="preserve"> </w:t>
      </w:r>
      <w:r>
        <w:t xml:space="preserve">director of The AI Lab of the Operational Readiness Resolution and</w:t>
      </w:r>
      <w:r>
        <w:t xml:space="preserve"> </w:t>
      </w:r>
      <w:r>
        <w:t xml:space="preserve">determination of the Genesis Date, published not less than three (3)</w:t>
      </w:r>
      <w:r>
        <w:t xml:space="preserve"> </w:t>
      </w:r>
      <w:r>
        <w:t xml:space="preserve">business days in advance on theailab.org. The federated network</w:t>
      </w:r>
      <w:r>
        <w:t xml:space="preserve"> </w:t>
      </w:r>
      <w:r>
        <w:t xml:space="preserve">commences live operation. The Founding Period commences.</w:t>
      </w:r>
    </w:p>
    <w:bookmarkStart w:id="258" w:name="operational-readiness-conditions"/>
    <w:p>
      <w:pPr>
        <w:pStyle w:val="Heading3"/>
      </w:pPr>
      <w:r>
        <w:t xml:space="preserve">11.1.1 Operational Readiness Conditions</w:t>
      </w:r>
    </w:p>
    <w:p>
      <w:pPr>
        <w:pStyle w:val="FirstParagraph"/>
      </w:pPr>
      <w:r>
        <w:t xml:space="preserve">The Genesis Date is determined by the sole director on the</w:t>
      </w:r>
      <w:r>
        <w:t xml:space="preserve"> </w:t>
      </w:r>
      <w:r>
        <w:t xml:space="preserve">satisfaction of the following Operational Readiness Conditions, each</w:t>
      </w:r>
      <w:r>
        <w:t xml:space="preserve"> </w:t>
      </w:r>
      <w:r>
        <w:t xml:space="preserve">verified in writing and recorded in the Minute Book of The AI Lab:</w:t>
      </w:r>
    </w:p>
    <w:p>
      <w:pPr>
        <w:numPr>
          <w:ilvl w:val="0"/>
          <w:numId w:val="1025"/>
        </w:numPr>
      </w:pPr>
      <w:r>
        <w:t xml:space="preserve">Execution of Founding Node Operator Agreements with at least</w:t>
      </w:r>
      <w:r>
        <w:t xml:space="preserve"> </w:t>
      </w:r>
      <w:r>
        <w:t xml:space="preserve">three (3) Founding Node Operators in at least two (2)</w:t>
      </w:r>
      <w:r>
        <w:t xml:space="preserve"> </w:t>
      </w:r>
      <w:r>
        <w:t xml:space="preserve">jurisdictions.</w:t>
      </w:r>
    </w:p>
    <w:p>
      <w:pPr>
        <w:numPr>
          <w:ilvl w:val="0"/>
          <w:numId w:val="1025"/>
        </w:numPr>
      </w:pPr>
      <w:r>
        <w:t xml:space="preserve">Stand-up by each Founding Node Operator of a Full Node deployment</w:t>
      </w:r>
      <w:r>
        <w:t xml:space="preserve"> </w:t>
      </w:r>
      <w:r>
        <w:t xml:space="preserve">satisfying the Technical Requirements Specification, in pre-Genesis</w:t>
      </w:r>
      <w:r>
        <w:t xml:space="preserve"> </w:t>
      </w:r>
      <w:r>
        <w:t xml:space="preserve">operating mode, with operational status verified by The AI Lab.</w:t>
      </w:r>
    </w:p>
    <w:p>
      <w:pPr>
        <w:numPr>
          <w:ilvl w:val="0"/>
          <w:numId w:val="1025"/>
        </w:numPr>
      </w:pPr>
      <w:r>
        <w:t xml:space="preserve">Successful completion of synchronization protocol testing between</w:t>
      </w:r>
      <w:r>
        <w:t xml:space="preserve"> </w:t>
      </w:r>
      <w:r>
        <w:t xml:space="preserve">Founding Node Operators, with the published synchronization target</w:t>
      </w:r>
      <w:r>
        <w:t xml:space="preserve"> </w:t>
      </w:r>
      <w:r>
        <w:t xml:space="preserve">indicators met in the pre-Genesis test window.</w:t>
      </w:r>
    </w:p>
    <w:p>
      <w:pPr>
        <w:numPr>
          <w:ilvl w:val="0"/>
          <w:numId w:val="1025"/>
        </w:numPr>
      </w:pPr>
      <w:r>
        <w:t xml:space="preserve">Ratification of the AI Trust Council Charter by the sole</w:t>
      </w:r>
      <w:r>
        <w:t xml:space="preserve"> </w:t>
      </w:r>
      <w:r>
        <w:t xml:space="preserve">director.</w:t>
      </w:r>
    </w:p>
    <w:p>
      <w:pPr>
        <w:numPr>
          <w:ilvl w:val="0"/>
          <w:numId w:val="1025"/>
        </w:numPr>
      </w:pPr>
      <w:r>
        <w:t xml:space="preserve">Convening of the inaugural plenary session of the AI Trust</w:t>
      </w:r>
      <w:r>
        <w:t xml:space="preserve"> </w:t>
      </w:r>
      <w:r>
        <w:t xml:space="preserve">Council, including the Council’s written confirmation to the sole</w:t>
      </w:r>
      <w:r>
        <w:t xml:space="preserve"> </w:t>
      </w:r>
      <w:r>
        <w:t xml:space="preserve">director of its observation that the operational, governance, and</w:t>
      </w:r>
      <w:r>
        <w:t xml:space="preserve"> </w:t>
      </w:r>
      <w:r>
        <w:t xml:space="preserve">licensing conditions for Genesis have been satisfied.</w:t>
      </w:r>
    </w:p>
    <w:p>
      <w:pPr>
        <w:numPr>
          <w:ilvl w:val="0"/>
          <w:numId w:val="1025"/>
        </w:numPr>
      </w:pPr>
      <w:r>
        <w:t xml:space="preserve">Publication of the canonical TIP Protocol Specification v5.0</w:t>
      </w:r>
      <w:r>
        <w:t xml:space="preserve"> </w:t>
      </w:r>
      <w:r>
        <w:t xml:space="preserve">under Creative Commons Attribution 4.0 International License.</w:t>
      </w:r>
    </w:p>
    <w:p>
      <w:pPr>
        <w:numPr>
          <w:ilvl w:val="0"/>
          <w:numId w:val="1025"/>
        </w:numPr>
      </w:pPr>
      <w:r>
        <w:t xml:space="preserve">Publication of this whitepaper.</w:t>
      </w:r>
    </w:p>
    <w:p>
      <w:pPr>
        <w:numPr>
          <w:ilvl w:val="0"/>
          <w:numId w:val="1025"/>
        </w:numPr>
      </w:pPr>
      <w:r>
        <w:t xml:space="preserve">Filing of the United States Copyright Office derivative</w:t>
      </w:r>
      <w:r>
        <w:t xml:space="preserve"> </w:t>
      </w:r>
      <w:r>
        <w:t xml:space="preserve">application for this whitepaper.</w:t>
      </w:r>
    </w:p>
    <w:p>
      <w:pPr>
        <w:numPr>
          <w:ilvl w:val="0"/>
          <w:numId w:val="1025"/>
        </w:numPr>
      </w:pPr>
      <w:r>
        <w:t xml:space="preserve">Capture of an Internet Archive snapshot of the published</w:t>
      </w:r>
      <w:r>
        <w:t xml:space="preserve"> </w:t>
      </w:r>
      <w:r>
        <w:t xml:space="preserve">whitepaper for independent third-party timestamping.</w:t>
      </w:r>
    </w:p>
    <w:p>
      <w:pPr>
        <w:numPr>
          <w:ilvl w:val="0"/>
          <w:numId w:val="1025"/>
        </w:numPr>
      </w:pPr>
      <w:r>
        <w:t xml:space="preserve">Approval by the sole director of the Genesis Date.</w:t>
      </w:r>
    </w:p>
    <w:p>
      <w:pPr>
        <w:pStyle w:val="FirstParagraph"/>
      </w:pPr>
      <w:r>
        <w:t xml:space="preserve">On the determination by the sole director that the Operational</w:t>
      </w:r>
      <w:r>
        <w:t xml:space="preserve"> </w:t>
      </w:r>
      <w:r>
        <w:t xml:space="preserve">Readiness Conditions have been satisfied, the Genesis Date is published</w:t>
      </w:r>
      <w:r>
        <w:t xml:space="preserve"> </w:t>
      </w:r>
      <w:r>
        <w:t xml:space="preserve">on theailab.org not less than three (3) business days in advance of the</w:t>
      </w:r>
      <w:r>
        <w:t xml:space="preserve"> </w:t>
      </w:r>
      <w:r>
        <w:t xml:space="preserve">Genesis Date.</w:t>
      </w:r>
    </w:p>
    <w:bookmarkEnd w:id="258"/>
    <w:bookmarkEnd w:id="259"/>
    <w:bookmarkStart w:id="260" w:name="twelve-month-horizon"/>
    <w:p>
      <w:pPr>
        <w:pStyle w:val="Heading2"/>
      </w:pPr>
      <w:r>
        <w:t xml:space="preserve">11.2 Twelve-month horizon</w:t>
      </w:r>
    </w:p>
    <w:p>
      <w:pPr>
        <w:pStyle w:val="FirstParagraph"/>
      </w:pPr>
      <w:r>
        <w:t xml:space="preserve">The following milestones are planned for the twelve months following</w:t>
      </w:r>
      <w:r>
        <w:t xml:space="preserve"> </w:t>
      </w:r>
      <w:r>
        <w:t xml:space="preserve">the publication of this whitepaper.</w:t>
      </w:r>
    </w:p>
    <w:p>
      <w:pPr>
        <w:pStyle w:val="BodyText"/>
      </w:pPr>
      <w:r>
        <w:rPr>
          <w:b/>
          <w:bCs/>
        </w:rPr>
        <w:t xml:space="preserve">First plenary session of the AI Trust Council.</w:t>
      </w:r>
      <w:r>
        <w:t xml:space="preserve"> </w:t>
      </w:r>
      <w:r>
        <w:t xml:space="preserve">The</w:t>
      </w:r>
      <w:r>
        <w:t xml:space="preserve"> </w:t>
      </w:r>
      <w:r>
        <w:t xml:space="preserve">Council holds its inaugural plenary session during the Pre-Genesis</w:t>
      </w:r>
      <w:r>
        <w:t xml:space="preserve"> </w:t>
      </w:r>
      <w:r>
        <w:t xml:space="preserve">Period and not later than sixty days after the Genesis Date, ratifies</w:t>
      </w:r>
      <w:r>
        <w:t xml:space="preserve"> </w:t>
      </w:r>
      <w:r>
        <w:t xml:space="preserve">its inaugural rules of procedure, confirms the satisfaction of the</w:t>
      </w:r>
      <w:r>
        <w:t xml:space="preserve"> </w:t>
      </w:r>
      <w:r>
        <w:t xml:space="preserve">Operational Readiness Conditions as a prerequisite to the sole</w:t>
      </w:r>
      <w:r>
        <w:t xml:space="preserve"> </w:t>
      </w:r>
      <w:r>
        <w:t xml:space="preserve">director’s determination of the Genesis Date, accepts the inaugural set</w:t>
      </w:r>
      <w:r>
        <w:t xml:space="preserve"> </w:t>
      </w:r>
      <w:r>
        <w:t xml:space="preserve">of Verification Provider applications, and adopts the conformance</w:t>
      </w:r>
      <w:r>
        <w:t xml:space="preserve"> </w:t>
      </w:r>
      <w:r>
        <w:t xml:space="preserve">program for the protocol.</w:t>
      </w:r>
    </w:p>
    <w:p>
      <w:pPr>
        <w:pStyle w:val="BodyText"/>
      </w:pPr>
      <w:r>
        <w:rPr>
          <w:b/>
          <w:bCs/>
        </w:rPr>
        <w:t xml:space="preserve">Accreditation of the inaugural set of Verification</w:t>
      </w:r>
      <w:r>
        <w:rPr>
          <w:b/>
          <w:bCs/>
        </w:rPr>
        <w:t xml:space="preserve"> </w:t>
      </w:r>
      <w:r>
        <w:rPr>
          <w:b/>
          <w:bCs/>
        </w:rPr>
        <w:t xml:space="preserve">Providers.</w:t>
      </w:r>
      <w:r>
        <w:t xml:space="preserve"> </w:t>
      </w:r>
      <w:r>
        <w:t xml:space="preserve">The Council reviews and acts on Verification</w:t>
      </w:r>
      <w:r>
        <w:t xml:space="preserve"> </w:t>
      </w:r>
      <w:r>
        <w:t xml:space="preserve">Provider applications received during the application window opening on</w:t>
      </w:r>
      <w:r>
        <w:t xml:space="preserve"> </w:t>
      </w:r>
      <w:r>
        <w:t xml:space="preserve">the publication of this whitepaper. The Council’s accreditation pipeline</w:t>
      </w:r>
      <w:r>
        <w:t xml:space="preserve"> </w:t>
      </w:r>
      <w:r>
        <w:t xml:space="preserve">targets the issuance of the inaugural Verification Provider</w:t>
      </w:r>
      <w:r>
        <w:t xml:space="preserve"> </w:t>
      </w:r>
      <w:r>
        <w:t xml:space="preserve">accreditations within ninety days of the publication of this</w:t>
      </w:r>
      <w:r>
        <w:t xml:space="preserve"> </w:t>
      </w:r>
      <w:r>
        <w:t xml:space="preserve">whitepaper.</w:t>
      </w:r>
    </w:p>
    <w:p>
      <w:pPr>
        <w:pStyle w:val="BodyText"/>
      </w:pPr>
      <w:r>
        <w:rPr>
          <w:b/>
          <w:bCs/>
        </w:rPr>
        <w:t xml:space="preserve">Expansion of the federation to an EU Member State Node</w:t>
      </w:r>
      <w:r>
        <w:rPr>
          <w:b/>
          <w:bCs/>
        </w:rPr>
        <w:t xml:space="preserve"> </w:t>
      </w:r>
      <w:r>
        <w:rPr>
          <w:b/>
          <w:bCs/>
        </w:rPr>
        <w:t xml:space="preserve">Operator.</w:t>
      </w:r>
      <w:r>
        <w:t xml:space="preserve"> </w:t>
      </w:r>
      <w:r>
        <w:t xml:space="preserve">The Founding Period network does not currently</w:t>
      </w:r>
      <w:r>
        <w:t xml:space="preserve"> </w:t>
      </w:r>
      <w:r>
        <w:t xml:space="preserve">include a Founding Node Operator established in a Member State of the</w:t>
      </w:r>
      <w:r>
        <w:t xml:space="preserve"> </w:t>
      </w:r>
      <w:r>
        <w:t xml:space="preserve">European Union, an absence acknowledged in Part VII Section 7.6. The AI</w:t>
      </w:r>
      <w:r>
        <w:t xml:space="preserve"> </w:t>
      </w:r>
      <w:r>
        <w:t xml:space="preserve">Lab and the AI Trust Council intend to address this absence within the</w:t>
      </w:r>
      <w:r>
        <w:t xml:space="preserve"> </w:t>
      </w:r>
      <w:r>
        <w:t xml:space="preserve">twelve-month horizon through the accreditation of one or more additional</w:t>
      </w:r>
      <w:r>
        <w:t xml:space="preserve"> </w:t>
      </w:r>
      <w:r>
        <w:t xml:space="preserve">Founding Node Operators in EU Member States.</w:t>
      </w:r>
    </w:p>
    <w:p>
      <w:pPr>
        <w:pStyle w:val="BodyText"/>
      </w:pPr>
      <w:r>
        <w:rPr>
          <w:b/>
          <w:bCs/>
        </w:rPr>
        <w:t xml:space="preserve">Engagement with the European AI Office.</w:t>
      </w:r>
      <w:r>
        <w:t xml:space="preserve"> </w:t>
      </w:r>
      <w:r>
        <w:t xml:space="preserve">The AI Lab</w:t>
      </w:r>
      <w:r>
        <w:t xml:space="preserve"> </w:t>
      </w:r>
      <w:r>
        <w:t xml:space="preserve">and the AI Trust Council, on behalf of the protocol, intend to commence</w:t>
      </w:r>
      <w:r>
        <w:t xml:space="preserve"> </w:t>
      </w:r>
      <w:r>
        <w:t xml:space="preserve">engagement with the European AI Office concerning (a) the recognition of</w:t>
      </w:r>
      <w:r>
        <w:t xml:space="preserve"> </w:t>
      </w:r>
      <w:r>
        <w:t xml:space="preserve">the AI Trust Council as a multi-stakeholder body under Article 95 of the</w:t>
      </w:r>
      <w:r>
        <w:t xml:space="preserve"> </w:t>
      </w:r>
      <w:r>
        <w:t xml:space="preserve">EU AI Act and (b) the conformance of the protocol with Articles 50(2)</w:t>
      </w:r>
      <w:r>
        <w:t xml:space="preserve"> </w:t>
      </w:r>
      <w:r>
        <w:t xml:space="preserve">and 50(4) of the EU AI Act, in the manner contemplated by Part IX</w:t>
      </w:r>
      <w:r>
        <w:t xml:space="preserve"> </w:t>
      </w:r>
      <w:r>
        <w:t xml:space="preserve">Section 9.1.1.</w:t>
      </w:r>
    </w:p>
    <w:p>
      <w:pPr>
        <w:pStyle w:val="BodyText"/>
      </w:pPr>
      <w:r>
        <w:rPr>
          <w:b/>
          <w:bCs/>
        </w:rPr>
        <w:t xml:space="preserve">Publication of CTID-to-EUDI-Wallet interoperability</w:t>
      </w:r>
      <w:r>
        <w:rPr>
          <w:b/>
          <w:bCs/>
        </w:rPr>
        <w:t xml:space="preserve"> </w:t>
      </w:r>
      <w:r>
        <w:rPr>
          <w:b/>
          <w:bCs/>
        </w:rPr>
        <w:t xml:space="preserve">profile.</w:t>
      </w:r>
      <w:r>
        <w:t xml:space="preserve"> </w:t>
      </w:r>
      <w:r>
        <w:t xml:space="preserve">The AI Lab and the AI Trust Council intend to publish</w:t>
      </w:r>
      <w:r>
        <w:t xml:space="preserve"> </w:t>
      </w:r>
      <w:r>
        <w:t xml:space="preserve">the CTID-to-EUDI-Wallet interoperability profile described in Part IV</w:t>
      </w:r>
      <w:r>
        <w:t xml:space="preserve"> </w:t>
      </w:r>
      <w:r>
        <w:t xml:space="preserve">Section 4.5.3 within the twelve-month horizon.</w:t>
      </w:r>
    </w:p>
    <w:p>
      <w:pPr>
        <w:pStyle w:val="BodyText"/>
      </w:pPr>
      <w:r>
        <w:rPr>
          <w:b/>
          <w:bCs/>
        </w:rPr>
        <w:t xml:space="preserve">Publication of software development kits.</w:t>
      </w:r>
      <w:r>
        <w:t xml:space="preserve"> </w:t>
      </w:r>
      <w:r>
        <w:t xml:space="preserve">The Rust,</w:t>
      </w:r>
      <w:r>
        <w:t xml:space="preserve"> </w:t>
      </w:r>
      <w:r>
        <w:t xml:space="preserve">Go, Java, and .NET SDKs identified in Part VIII Section 8.6.2 are</w:t>
      </w:r>
      <w:r>
        <w:t xml:space="preserve"> </w:t>
      </w:r>
      <w:r>
        <w:t xml:space="preserve">scheduled for publication within the twelve-month horizon under the</w:t>
      </w:r>
      <w:r>
        <w:t xml:space="preserve"> </w:t>
      </w:r>
      <w:r>
        <w:t xml:space="preserve">published schedule.</w:t>
      </w:r>
    </w:p>
    <w:p>
      <w:pPr>
        <w:pStyle w:val="BodyText"/>
      </w:pPr>
      <w:r>
        <w:rPr>
          <w:b/>
          <w:bCs/>
        </w:rPr>
        <w:t xml:space="preserve">Engagement with at least one standards organization.</w:t>
      </w:r>
      <w:r>
        <w:t xml:space="preserve"> </w:t>
      </w:r>
      <w:r>
        <w:t xml:space="preserve">The AI Lab and the AI Trust Council intend to commence formal engagement</w:t>
      </w:r>
      <w:r>
        <w:t xml:space="preserve"> </w:t>
      </w:r>
      <w:r>
        <w:t xml:space="preserve">with at least one standards organization identified in Part IX Section</w:t>
      </w:r>
      <w:r>
        <w:t xml:space="preserve"> </w:t>
      </w:r>
      <w:r>
        <w:t xml:space="preserve">9.7 within the twelve-month horizon, with priority on ISO/IEC JTC 1/SC</w:t>
      </w:r>
      <w:r>
        <w:t xml:space="preserve"> </w:t>
      </w:r>
      <w:r>
        <w:t xml:space="preserve">27 and on the IETF.</w:t>
      </w:r>
    </w:p>
    <w:p>
      <w:pPr>
        <w:pStyle w:val="BodyText"/>
      </w:pPr>
      <w:r>
        <w:rPr>
          <w:b/>
          <w:bCs/>
        </w:rPr>
        <w:t xml:space="preserve">First annual transparency report of the AI Trust</w:t>
      </w:r>
      <w:r>
        <w:rPr>
          <w:b/>
          <w:bCs/>
        </w:rPr>
        <w:t xml:space="preserve"> </w:t>
      </w:r>
      <w:r>
        <w:rPr>
          <w:b/>
          <w:bCs/>
        </w:rPr>
        <w:t xml:space="preserve">Council.</w:t>
      </w:r>
      <w:r>
        <w:t xml:space="preserve"> </w:t>
      </w:r>
      <w:r>
        <w:t xml:space="preserve">The Council publishes its inaugural annual</w:t>
      </w:r>
      <w:r>
        <w:t xml:space="preserve"> </w:t>
      </w:r>
      <w:r>
        <w:t xml:space="preserve">transparency report in January 2027 covering the inaugural period of its</w:t>
      </w:r>
      <w:r>
        <w:t xml:space="preserve"> </w:t>
      </w:r>
      <w:r>
        <w:t xml:space="preserve">operation.</w:t>
      </w:r>
    </w:p>
    <w:bookmarkEnd w:id="260"/>
    <w:bookmarkStart w:id="261" w:name="twenty-four-month-horizon"/>
    <w:p>
      <w:pPr>
        <w:pStyle w:val="Heading2"/>
      </w:pPr>
      <w:r>
        <w:t xml:space="preserve">11.3 Twenty-four-month horizon</w:t>
      </w:r>
    </w:p>
    <w:p>
      <w:pPr>
        <w:pStyle w:val="FirstParagraph"/>
      </w:pPr>
      <w:r>
        <w:t xml:space="preserve">The following milestones are planned for the twelve months following</w:t>
      </w:r>
      <w:r>
        <w:t xml:space="preserve"> </w:t>
      </w:r>
      <w:r>
        <w:t xml:space="preserve">the conclusion of the twelve-month horizon described in Section</w:t>
      </w:r>
      <w:r>
        <w:t xml:space="preserve"> </w:t>
      </w:r>
      <w:r>
        <w:t xml:space="preserve">11.2.</w:t>
      </w:r>
    </w:p>
    <w:p>
      <w:pPr>
        <w:pStyle w:val="BodyText"/>
      </w:pPr>
      <w:r>
        <w:rPr>
          <w:b/>
          <w:bCs/>
        </w:rPr>
        <w:t xml:space="preserve">Throughput expansion of the federation.</w:t>
      </w:r>
      <w:r>
        <w:t xml:space="preserve"> </w:t>
      </w:r>
      <w:r>
        <w:t xml:space="preserve">The</w:t>
      </w:r>
      <w:r>
        <w:t xml:space="preserve"> </w:t>
      </w:r>
      <w:r>
        <w:t xml:space="preserve">federation is expected to expand to support sustained throughput of one</w:t>
      </w:r>
      <w:r>
        <w:t xml:space="preserve"> </w:t>
      </w:r>
      <w:r>
        <w:t xml:space="preserve">thousand entries per second by the conclusion of the twenty-four-month</w:t>
      </w:r>
      <w:r>
        <w:t xml:space="preserve"> </w:t>
      </w:r>
      <w:r>
        <w:t xml:space="preserve">horizon, with the horizontal scaling profile described in Part VII</w:t>
      </w:r>
      <w:r>
        <w:t xml:space="preserve"> </w:t>
      </w:r>
      <w:r>
        <w:t xml:space="preserve">Section 7.7.</w:t>
      </w:r>
    </w:p>
    <w:p>
      <w:pPr>
        <w:pStyle w:val="BodyText"/>
      </w:pPr>
      <w:r>
        <w:rPr>
          <w:b/>
          <w:bCs/>
        </w:rPr>
        <w:t xml:space="preserve">Geographic expansion.</w:t>
      </w:r>
      <w:r>
        <w:t xml:space="preserve"> </w:t>
      </w:r>
      <w:r>
        <w:t xml:space="preserve">The federation is expected to</w:t>
      </w:r>
      <w:r>
        <w:t xml:space="preserve"> </w:t>
      </w:r>
      <w:r>
        <w:t xml:space="preserve">include Founding Node Operators in additional jurisdictions including</w:t>
      </w:r>
      <w:r>
        <w:t xml:space="preserve"> </w:t>
      </w:r>
      <w:r>
        <w:t xml:space="preserve">the European Union, East Asia, and the Middle East by the conclusion of</w:t>
      </w:r>
      <w:r>
        <w:t xml:space="preserve"> </w:t>
      </w:r>
      <w:r>
        <w:t xml:space="preserve">the twenty-four-month horizon.</w:t>
      </w:r>
    </w:p>
    <w:p>
      <w:pPr>
        <w:pStyle w:val="BodyText"/>
      </w:pPr>
      <w:r>
        <w:rPr>
          <w:b/>
          <w:bCs/>
        </w:rPr>
        <w:t xml:space="preserve">Accreditation of the second set of Verification</w:t>
      </w:r>
      <w:r>
        <w:rPr>
          <w:b/>
          <w:bCs/>
        </w:rPr>
        <w:t xml:space="preserve"> </w:t>
      </w:r>
      <w:r>
        <w:rPr>
          <w:b/>
          <w:bCs/>
        </w:rPr>
        <w:t xml:space="preserve">Providers.</w:t>
      </w:r>
      <w:r>
        <w:t xml:space="preserve"> </w:t>
      </w:r>
      <w:r>
        <w:t xml:space="preserve">The Council is expected to accredit additional</w:t>
      </w:r>
      <w:r>
        <w:t xml:space="preserve"> </w:t>
      </w:r>
      <w:r>
        <w:t xml:space="preserve">Verification Providers expanding the geographic coverage of identity</w:t>
      </w:r>
      <w:r>
        <w:t xml:space="preserve"> </w:t>
      </w:r>
      <w:r>
        <w:t xml:space="preserve">verification to jurisdictions including the European Union, the United</w:t>
      </w:r>
      <w:r>
        <w:t xml:space="preserve"> </w:t>
      </w:r>
      <w:r>
        <w:t xml:space="preserve">Arab Emirates, Singapore, Japan, Brazil, and South Africa.</w:t>
      </w:r>
    </w:p>
    <w:p>
      <w:pPr>
        <w:pStyle w:val="BodyText"/>
      </w:pPr>
      <w:r>
        <w:rPr>
          <w:b/>
          <w:bCs/>
        </w:rPr>
        <w:t xml:space="preserve">Publication of CNA-IMG, CNA-VID, and CNA-AUDIO</w:t>
      </w:r>
      <w:r>
        <w:rPr>
          <w:b/>
          <w:bCs/>
        </w:rPr>
        <w:t xml:space="preserve"> </w:t>
      </w:r>
      <w:r>
        <w:rPr>
          <w:b/>
          <w:bCs/>
        </w:rPr>
        <w:t xml:space="preserve">variants.</w:t>
      </w:r>
      <w:r>
        <w:t xml:space="preserve"> </w:t>
      </w:r>
      <w:r>
        <w:t xml:space="preserve">The image, video, and audio variants of the Canonical</w:t>
      </w:r>
      <w:r>
        <w:t xml:space="preserve"> </w:t>
      </w:r>
      <w:r>
        <w:t xml:space="preserve">Normalization Algorithm described in Part V Section 5.1 are scheduled</w:t>
      </w:r>
      <w:r>
        <w:t xml:space="preserve"> </w:t>
      </w:r>
      <w:r>
        <w:t xml:space="preserve">for publication within the twenty-four-month horizon following Council</w:t>
      </w:r>
      <w:r>
        <w:t xml:space="preserve"> </w:t>
      </w:r>
      <w:r>
        <w:t xml:space="preserve">review and conformance test vector production.</w:t>
      </w:r>
    </w:p>
    <w:p>
      <w:pPr>
        <w:pStyle w:val="BodyText"/>
      </w:pPr>
      <w:r>
        <w:rPr>
          <w:b/>
          <w:bCs/>
        </w:rPr>
        <w:t xml:space="preserve">Native ML-DSA-65 authenticator deployment.</w:t>
      </w:r>
      <w:r>
        <w:t xml:space="preserve"> </w:t>
      </w:r>
      <w:r>
        <w:t xml:space="preserve">The</w:t>
      </w:r>
      <w:r>
        <w:t xml:space="preserve"> </w:t>
      </w:r>
      <w:r>
        <w:t xml:space="preserve">transition from the enveloped classical signature pattern described in</w:t>
      </w:r>
      <w:r>
        <w:t xml:space="preserve"> </w:t>
      </w:r>
      <w:r>
        <w:t xml:space="preserve">Part IV Section 4.1.4 to native ML-DSA-65 authenticator support is</w:t>
      </w:r>
      <w:r>
        <w:t xml:space="preserve"> </w:t>
      </w:r>
      <w:r>
        <w:t xml:space="preserve">expected to make material progress within the twenty-four-month horizon</w:t>
      </w:r>
      <w:r>
        <w:t xml:space="preserve"> </w:t>
      </w:r>
      <w:r>
        <w:t xml:space="preserve">as the FIDO Alliance and authenticator manufacturers publish ML-DSA-65</w:t>
      </w:r>
      <w:r>
        <w:t xml:space="preserve"> </w:t>
      </w:r>
      <w:r>
        <w:t xml:space="preserve">authenticator support.</w:t>
      </w:r>
    </w:p>
    <w:p>
      <w:pPr>
        <w:pStyle w:val="BodyText"/>
      </w:pPr>
      <w:r>
        <w:rPr>
          <w:b/>
          <w:bCs/>
        </w:rPr>
        <w:t xml:space="preserve">Submission to standards organizations.</w:t>
      </w:r>
      <w:r>
        <w:t xml:space="preserve"> </w:t>
      </w:r>
      <w:r>
        <w:t xml:space="preserve">Formal</w:t>
      </w:r>
      <w:r>
        <w:t xml:space="preserve"> </w:t>
      </w:r>
      <w:r>
        <w:t xml:space="preserve">submissions to at least one of ISO/IEC JTC 1/SC 27, the IETF, the W3C,</w:t>
      </w:r>
      <w:r>
        <w:t xml:space="preserve"> </w:t>
      </w:r>
      <w:r>
        <w:t xml:space="preserve">and ETSI are expected within the twenty-four-month horizon.</w:t>
      </w:r>
    </w:p>
    <w:p>
      <w:pPr>
        <w:pStyle w:val="BodyText"/>
      </w:pPr>
      <w:r>
        <w:rPr>
          <w:b/>
          <w:bCs/>
        </w:rPr>
        <w:t xml:space="preserve">Engagement with regulators in additional</w:t>
      </w:r>
      <w:r>
        <w:rPr>
          <w:b/>
          <w:bCs/>
        </w:rPr>
        <w:t xml:space="preserve"> </w:t>
      </w:r>
      <w:r>
        <w:rPr>
          <w:b/>
          <w:bCs/>
        </w:rPr>
        <w:t xml:space="preserve">jurisdictions.</w:t>
      </w:r>
      <w:r>
        <w:t xml:space="preserve"> </w:t>
      </w:r>
      <w:r>
        <w:t xml:space="preserve">Engagement with the United Kingdom Office of</w:t>
      </w:r>
      <w:r>
        <w:t xml:space="preserve"> </w:t>
      </w:r>
      <w:r>
        <w:t xml:space="preserve">Communications, the New Zealand Office of the Privacy Commissioner, the</w:t>
      </w:r>
      <w:r>
        <w:t xml:space="preserve"> </w:t>
      </w:r>
      <w:r>
        <w:t xml:space="preserve">Indian Ministry of Electronics and Information Technology, and the</w:t>
      </w:r>
      <w:r>
        <w:t xml:space="preserve"> </w:t>
      </w:r>
      <w:r>
        <w:t xml:space="preserve">United States Federal Trade Commission concerning the operation of the</w:t>
      </w:r>
      <w:r>
        <w:t xml:space="preserve"> </w:t>
      </w:r>
      <w:r>
        <w:t xml:space="preserve">protocol within those jurisdictions is expected to advance within the</w:t>
      </w:r>
      <w:r>
        <w:t xml:space="preserve"> </w:t>
      </w:r>
      <w:r>
        <w:t xml:space="preserve">twenty-four-month horizon.</w:t>
      </w:r>
    </w:p>
    <w:bookmarkEnd w:id="261"/>
    <w:bookmarkStart w:id="262" w:name="thirty-six-month-horizon"/>
    <w:p>
      <w:pPr>
        <w:pStyle w:val="Heading2"/>
      </w:pPr>
      <w:r>
        <w:t xml:space="preserve">11.4 Thirty-six-month horizon</w:t>
      </w:r>
    </w:p>
    <w:p>
      <w:pPr>
        <w:pStyle w:val="FirstParagraph"/>
      </w:pPr>
      <w:r>
        <w:t xml:space="preserve">The following milestones are planned for the twelve months following</w:t>
      </w:r>
      <w:r>
        <w:t xml:space="preserve"> </w:t>
      </w:r>
      <w:r>
        <w:t xml:space="preserve">the conclusion of the twenty-four-month horizon described in Section</w:t>
      </w:r>
      <w:r>
        <w:t xml:space="preserve"> </w:t>
      </w:r>
      <w:r>
        <w:t xml:space="preserve">11.3.</w:t>
      </w:r>
    </w:p>
    <w:p>
      <w:pPr>
        <w:pStyle w:val="BodyText"/>
      </w:pPr>
      <w:r>
        <w:rPr>
          <w:b/>
          <w:bCs/>
        </w:rPr>
        <w:t xml:space="preserve">Transition from the Founding Period to the Network</w:t>
      </w:r>
      <w:r>
        <w:rPr>
          <w:b/>
          <w:bCs/>
        </w:rPr>
        <w:t xml:space="preserve"> </w:t>
      </w:r>
      <w:r>
        <w:rPr>
          <w:b/>
          <w:bCs/>
        </w:rPr>
        <w:t xml:space="preserve">Period.</w:t>
      </w:r>
      <w:r>
        <w:t xml:space="preserve"> </w:t>
      </w:r>
      <w:r>
        <w:t xml:space="preserve">The conditions for the transition described in Section</w:t>
      </w:r>
      <w:r>
        <w:t xml:space="preserve"> </w:t>
      </w:r>
      <w:r>
        <w:t xml:space="preserve">11.6 are expected to be satisfied within the thirty-six-month horizon.</w:t>
      </w:r>
      <w:r>
        <w:t xml:space="preserve"> </w:t>
      </w:r>
      <w:r>
        <w:t xml:space="preserve">The transition is initiated by a supermajority ratification of the AI</w:t>
      </w:r>
      <w:r>
        <w:t xml:space="preserve"> </w:t>
      </w:r>
      <w:r>
        <w:t xml:space="preserve">Trust Council and is accompanied by the reauthorization of the Council</w:t>
      </w:r>
      <w:r>
        <w:t xml:space="preserve"> </w:t>
      </w:r>
      <w:r>
        <w:t xml:space="preserve">under the Network Period composition described in Part X Section</w:t>
      </w:r>
      <w:r>
        <w:t xml:space="preserve"> </w:t>
      </w:r>
      <w:r>
        <w:t xml:space="preserve">10.2.7.</w:t>
      </w:r>
    </w:p>
    <w:p>
      <w:pPr>
        <w:pStyle w:val="BodyText"/>
      </w:pPr>
      <w:r>
        <w:rPr>
          <w:b/>
          <w:bCs/>
        </w:rPr>
        <w:t xml:space="preserve">Throughput expansion.</w:t>
      </w:r>
      <w:r>
        <w:t xml:space="preserve"> </w:t>
      </w:r>
      <w:r>
        <w:t xml:space="preserve">The federation is expected to</w:t>
      </w:r>
      <w:r>
        <w:t xml:space="preserve"> </w:t>
      </w:r>
      <w:r>
        <w:t xml:space="preserve">expand to support sustained throughput of ten thousand entries per</w:t>
      </w:r>
      <w:r>
        <w:t xml:space="preserve"> </w:t>
      </w:r>
      <w:r>
        <w:t xml:space="preserve">second by the conclusion of the thirty-six-month horizon, with the</w:t>
      </w:r>
      <w:r>
        <w:t xml:space="preserve"> </w:t>
      </w:r>
      <w:r>
        <w:t xml:space="preserve">scaling profile described in Part VII Section 7.7.</w:t>
      </w:r>
    </w:p>
    <w:p>
      <w:pPr>
        <w:pStyle w:val="BodyText"/>
      </w:pPr>
      <w:r>
        <w:rPr>
          <w:b/>
          <w:bCs/>
        </w:rPr>
        <w:t xml:space="preserve">Native post-quantum operation.</w:t>
      </w:r>
      <w:r>
        <w:t xml:space="preserve"> </w:t>
      </w:r>
      <w:r>
        <w:t xml:space="preserve">The transition to</w:t>
      </w:r>
      <w:r>
        <w:t xml:space="preserve"> </w:t>
      </w:r>
      <w:r>
        <w:t xml:space="preserve">native ML-DSA-65 authenticator support is expected to be substantially</w:t>
      </w:r>
      <w:r>
        <w:t xml:space="preserve"> </w:t>
      </w:r>
      <w:r>
        <w:t xml:space="preserve">complete within the thirty-six-month horizon, with the enveloped</w:t>
      </w:r>
      <w:r>
        <w:t xml:space="preserve"> </w:t>
      </w:r>
      <w:r>
        <w:t xml:space="preserve">classical signature pattern retired for new CTID issuance subject to the</w:t>
      </w:r>
      <w:r>
        <w:t xml:space="preserve"> </w:t>
      </w:r>
      <w:r>
        <w:t xml:space="preserve">Council’s notice provisions described in Part IV Section 4.1.4.</w:t>
      </w:r>
    </w:p>
    <w:p>
      <w:pPr>
        <w:pStyle w:val="BodyText"/>
      </w:pPr>
      <w:r>
        <w:rPr>
          <w:b/>
          <w:bCs/>
        </w:rPr>
        <w:t xml:space="preserve">Publication of additional SDKs.</w:t>
      </w:r>
      <w:r>
        <w:t xml:space="preserve"> </w:t>
      </w:r>
      <w:r>
        <w:t xml:space="preserve">The Swift, Kotlin,</w:t>
      </w:r>
      <w:r>
        <w:t xml:space="preserve"> </w:t>
      </w:r>
      <w:r>
        <w:t xml:space="preserve">PHP, and Ruby SDKs identified in Part VIII Section 8.6.2 are scheduled</w:t>
      </w:r>
      <w:r>
        <w:t xml:space="preserve"> </w:t>
      </w:r>
      <w:r>
        <w:t xml:space="preserve">for publication within the thirty-six-month horizon.</w:t>
      </w:r>
    </w:p>
    <w:p>
      <w:pPr>
        <w:pStyle w:val="BodyText"/>
      </w:pPr>
      <w:r>
        <w:rPr>
          <w:b/>
          <w:bCs/>
        </w:rPr>
        <w:t xml:space="preserve">International standards process advancement.</w:t>
      </w:r>
      <w:r>
        <w:t xml:space="preserve"> </w:t>
      </w:r>
      <w:r>
        <w:t xml:space="preserve">The</w:t>
      </w:r>
      <w:r>
        <w:t xml:space="preserve"> </w:t>
      </w:r>
      <w:r>
        <w:t xml:space="preserve">standards processes commenced in the twelve-month and twenty-four-month</w:t>
      </w:r>
      <w:r>
        <w:t xml:space="preserve"> </w:t>
      </w:r>
      <w:r>
        <w:t xml:space="preserve">horizons are expected to advance toward publication of an international</w:t>
      </w:r>
      <w:r>
        <w:t xml:space="preserve"> </w:t>
      </w:r>
      <w:r>
        <w:t xml:space="preserve">standard within the thirty-six-month horizon.</w:t>
      </w:r>
    </w:p>
    <w:p>
      <w:pPr>
        <w:pStyle w:val="BodyText"/>
      </w:pPr>
      <w:r>
        <w:rPr>
          <w:b/>
          <w:bCs/>
        </w:rPr>
        <w:t xml:space="preserve">Engagement with the Council of Europe.</w:t>
      </w:r>
      <w:r>
        <w:t xml:space="preserve"> </w:t>
      </w:r>
      <w:r>
        <w:t xml:space="preserve">Engagement</w:t>
      </w:r>
      <w:r>
        <w:t xml:space="preserve"> </w:t>
      </w:r>
      <w:r>
        <w:t xml:space="preserve">with the Council of Europe concerning the alignment of the protocol with</w:t>
      </w:r>
      <w:r>
        <w:t xml:space="preserve"> </w:t>
      </w:r>
      <w:r>
        <w:t xml:space="preserve">the Framework Convention on Artificial Intelligence and Human Rights,</w:t>
      </w:r>
      <w:r>
        <w:t xml:space="preserve"> </w:t>
      </w:r>
      <w:r>
        <w:t xml:space="preserve">Democracy and the Rule of Law (CETS No. 225) is expected to advance</w:t>
      </w:r>
      <w:r>
        <w:t xml:space="preserve"> </w:t>
      </w:r>
      <w:r>
        <w:t xml:space="preserve">within the thirty-six-month horizon.</w:t>
      </w:r>
    </w:p>
    <w:bookmarkEnd w:id="262"/>
    <w:bookmarkStart w:id="263" w:name="material-risks"/>
    <w:p>
      <w:pPr>
        <w:pStyle w:val="Heading2"/>
      </w:pPr>
      <w:r>
        <w:t xml:space="preserve">11.5 Material risks</w:t>
      </w:r>
    </w:p>
    <w:p>
      <w:pPr>
        <w:pStyle w:val="FirstParagraph"/>
      </w:pPr>
      <w:r>
        <w:t xml:space="preserve">The achievement of the milestones described in Sections 11.2, 11.3,</w:t>
      </w:r>
      <w:r>
        <w:t xml:space="preserve"> </w:t>
      </w:r>
      <w:r>
        <w:t xml:space="preserve">and 11.4 is subject to material risks. The principal material risks</w:t>
      </w:r>
      <w:r>
        <w:t xml:space="preserve"> </w:t>
      </w:r>
      <w:r>
        <w:t xml:space="preserve">identified by The AI Lab as of the publication date of this whitepaper</w:t>
      </w:r>
      <w:r>
        <w:t xml:space="preserve"> </w:t>
      </w:r>
      <w:r>
        <w:t xml:space="preserve">are as follows.</w:t>
      </w:r>
    </w:p>
    <w:p>
      <w:pPr>
        <w:pStyle w:val="BodyText"/>
      </w:pPr>
      <w:r>
        <w:rPr>
          <w:b/>
          <w:bCs/>
        </w:rPr>
        <w:t xml:space="preserve">Regulatory risk.</w:t>
      </w:r>
      <w:r>
        <w:t xml:space="preserve"> </w:t>
      </w:r>
      <w:r>
        <w:t xml:space="preserve">Changes in applicable law,</w:t>
      </w:r>
      <w:r>
        <w:t xml:space="preserve"> </w:t>
      </w:r>
      <w:r>
        <w:t xml:space="preserve">regulation, or executive policy in any jurisdiction in which the</w:t>
      </w:r>
      <w:r>
        <w:t xml:space="preserve"> </w:t>
      </w:r>
      <w:r>
        <w:t xml:space="preserve">protocol operates may materially affect the operational posture of the</w:t>
      </w:r>
      <w:r>
        <w:t xml:space="preserve"> </w:t>
      </w:r>
      <w:r>
        <w:t xml:space="preserve">protocol, the obligations of Founding Node Operators and Verification</w:t>
      </w:r>
      <w:r>
        <w:t xml:space="preserve"> </w:t>
      </w:r>
      <w:r>
        <w:t xml:space="preserve">Providers, and the conformance of the protocol with regulatory</w:t>
      </w:r>
      <w:r>
        <w:t xml:space="preserve"> </w:t>
      </w:r>
      <w:r>
        <w:t xml:space="preserve">expectations. The protocol’s design is intended to be resilient to</w:t>
      </w:r>
      <w:r>
        <w:t xml:space="preserve"> </w:t>
      </w:r>
      <w:r>
        <w:t xml:space="preserve">ordinary regulatory evolution; extraordinary regulatory action against</w:t>
      </w:r>
      <w:r>
        <w:t xml:space="preserve"> </w:t>
      </w:r>
      <w:r>
        <w:t xml:space="preserve">the protocol or against its institutional sponsors cannot be reliably</w:t>
      </w:r>
      <w:r>
        <w:t xml:space="preserve"> </w:t>
      </w:r>
      <w:r>
        <w:t xml:space="preserve">forecast.</w:t>
      </w:r>
    </w:p>
    <w:p>
      <w:pPr>
        <w:pStyle w:val="BodyText"/>
      </w:pPr>
      <w:r>
        <w:rPr>
          <w:b/>
          <w:bCs/>
        </w:rPr>
        <w:t xml:space="preserve">Counterparty risk.</w:t>
      </w:r>
      <w:r>
        <w:t xml:space="preserve"> </w:t>
      </w:r>
      <w:r>
        <w:t xml:space="preserve">The protocol depends on the</w:t>
      </w:r>
      <w:r>
        <w:t xml:space="preserve"> </w:t>
      </w:r>
      <w:r>
        <w:t xml:space="preserve">performance of Founding Node Operators, Verification Providers, and</w:t>
      </w:r>
      <w:r>
        <w:t xml:space="preserve"> </w:t>
      </w:r>
      <w:r>
        <w:t xml:space="preserve">standards organization counterparties under written agreements. The</w:t>
      </w:r>
      <w:r>
        <w:t xml:space="preserve"> </w:t>
      </w:r>
      <w:r>
        <w:t xml:space="preserve">failure of one or more counterparties to perform under its agreement</w:t>
      </w:r>
      <w:r>
        <w:t xml:space="preserve"> </w:t>
      </w:r>
      <w:r>
        <w:t xml:space="preserve">with The AI Lab may materially affect the operational milestones.</w:t>
      </w:r>
    </w:p>
    <w:p>
      <w:pPr>
        <w:pStyle w:val="BodyText"/>
      </w:pPr>
      <w:r>
        <w:rPr>
          <w:b/>
          <w:bCs/>
        </w:rPr>
        <w:t xml:space="preserve">Intellectual property risk.</w:t>
      </w:r>
      <w:r>
        <w:t xml:space="preserve"> </w:t>
      </w:r>
      <w:r>
        <w:t xml:space="preserve">The protocol is the</w:t>
      </w:r>
      <w:r>
        <w:t xml:space="preserve"> </w:t>
      </w:r>
      <w:r>
        <w:t xml:space="preserve">subject of pending applications before the United States Copyright</w:t>
      </w:r>
      <w:r>
        <w:t xml:space="preserve"> </w:t>
      </w:r>
      <w:r>
        <w:t xml:space="preserve">Office and the United States Patent and Trademark Office. Adverse</w:t>
      </w:r>
      <w:r>
        <w:t xml:space="preserve"> </w:t>
      </w:r>
      <w:r>
        <w:t xml:space="preserve">outcomes in any pending application may materially affect the protocol’s</w:t>
      </w:r>
      <w:r>
        <w:t xml:space="preserve"> </w:t>
      </w:r>
      <w:r>
        <w:t xml:space="preserve">intellectual property posture. As of the publication date of this</w:t>
      </w:r>
      <w:r>
        <w:t xml:space="preserve"> </w:t>
      </w:r>
      <w:r>
        <w:t xml:space="preserve">whitepaper, one trademark portfolio refusal has been issued (SR</w:t>
      </w:r>
      <w:r>
        <w:t xml:space="preserve"> </w:t>
      </w:r>
      <w:r>
        <w:t xml:space="preserve">1-15116637136, the seal portfolio, refused under 17 U.S.C. § 1052(e))</w:t>
      </w:r>
      <w:r>
        <w:t xml:space="preserve"> </w:t>
      </w:r>
      <w:r>
        <w:t xml:space="preserve">and is not the subject of an appeal. Other applications are pending.</w:t>
      </w:r>
    </w:p>
    <w:p>
      <w:pPr>
        <w:pStyle w:val="BodyText"/>
      </w:pPr>
      <w:r>
        <w:rPr>
          <w:b/>
          <w:bCs/>
        </w:rPr>
        <w:t xml:space="preserve">Cryptographic risk.</w:t>
      </w:r>
      <w:r>
        <w:t xml:space="preserve"> </w:t>
      </w:r>
      <w:r>
        <w:t xml:space="preserve">A material reduction in the</w:t>
      </w:r>
      <w:r>
        <w:t xml:space="preserve"> </w:t>
      </w:r>
      <w:r>
        <w:t xml:space="preserve">security of any cryptographic primitive identified in Part III may</w:t>
      </w:r>
      <w:r>
        <w:t xml:space="preserve"> </w:t>
      </w:r>
      <w:r>
        <w:t xml:space="preserve">materially affect the security posture of the protocol. The</w:t>
      </w:r>
      <w:r>
        <w:t xml:space="preserve"> </w:t>
      </w:r>
      <w:r>
        <w:t xml:space="preserve">cryptographic migration path described in Part III Section 3.7.3 is the</w:t>
      </w:r>
      <w:r>
        <w:t xml:space="preserve"> </w:t>
      </w:r>
      <w:r>
        <w:t xml:space="preserve">protocol’s structured response. The migration path is designed to be</w:t>
      </w:r>
      <w:r>
        <w:t xml:space="preserve"> </w:t>
      </w:r>
      <w:r>
        <w:t xml:space="preserve">initiable on a cryptanalytic event without disruption of the federated</w:t>
      </w:r>
      <w:r>
        <w:t xml:space="preserve"> </w:t>
      </w:r>
      <w:r>
        <w:t xml:space="preserve">network.</w:t>
      </w:r>
    </w:p>
    <w:p>
      <w:pPr>
        <w:pStyle w:val="BodyText"/>
      </w:pPr>
      <w:r>
        <w:rPr>
          <w:b/>
          <w:bCs/>
        </w:rPr>
        <w:t xml:space="preserve">Adversary materialization risk.</w:t>
      </w:r>
      <w:r>
        <w:t xml:space="preserve"> </w:t>
      </w:r>
      <w:r>
        <w:t xml:space="preserve">An adversarial</w:t>
      </w:r>
      <w:r>
        <w:t xml:space="preserve"> </w:t>
      </w:r>
      <w:r>
        <w:t xml:space="preserve">attack model not within the threat model described in Part III Section</w:t>
      </w:r>
      <w:r>
        <w:t xml:space="preserve"> </w:t>
      </w:r>
      <w:r>
        <w:t xml:space="preserve">3.7 may materialize during the operational period of the protocol. The</w:t>
      </w:r>
      <w:r>
        <w:t xml:space="preserve"> </w:t>
      </w:r>
      <w:r>
        <w:t xml:space="preserve">protocol’s response to such an event is a combination of the bonded jury</w:t>
      </w:r>
      <w:r>
        <w:t xml:space="preserve"> </w:t>
      </w:r>
      <w:r>
        <w:t xml:space="preserve">adjudication procedure described in Part VI Section 6.5, the protocol</w:t>
      </w:r>
      <w:r>
        <w:t xml:space="preserve"> </w:t>
      </w:r>
      <w:r>
        <w:t xml:space="preserve">amendment procedure under the Charter, and (where the attack exceeds the</w:t>
      </w:r>
      <w:r>
        <w:t xml:space="preserve"> </w:t>
      </w:r>
      <w:r>
        <w:t xml:space="preserve">protocol’s institutional capacity) the engagement of supervisory</w:t>
      </w:r>
      <w:r>
        <w:t xml:space="preserve"> </w:t>
      </w:r>
      <w:r>
        <w:t xml:space="preserve">authorities and standards organizations.</w:t>
      </w:r>
    </w:p>
    <w:p>
      <w:pPr>
        <w:pStyle w:val="BodyText"/>
      </w:pPr>
      <w:r>
        <w:rPr>
          <w:b/>
          <w:bCs/>
        </w:rPr>
        <w:t xml:space="preserve">Standards risk.</w:t>
      </w:r>
      <w:r>
        <w:t xml:space="preserve"> </w:t>
      </w:r>
      <w:r>
        <w:t xml:space="preserve">The standards organization</w:t>
      </w:r>
      <w:r>
        <w:t xml:space="preserve"> </w:t>
      </w:r>
      <w:r>
        <w:t xml:space="preserve">engagement described in Part IX Section 9.7 may not converge on a</w:t>
      </w:r>
      <w:r>
        <w:t xml:space="preserve"> </w:t>
      </w:r>
      <w:r>
        <w:t xml:space="preserve">published international standard within the horizons described above, or</w:t>
      </w:r>
      <w:r>
        <w:t xml:space="preserve"> </w:t>
      </w:r>
      <w:r>
        <w:t xml:space="preserve">may converge on a standard incompatible with the canonical TIP Protocol</w:t>
      </w:r>
      <w:r>
        <w:t xml:space="preserve"> </w:t>
      </w:r>
      <w:r>
        <w:t xml:space="preserve">Specification. The protocol’s response is the continued operation of the</w:t>
      </w:r>
      <w:r>
        <w:t xml:space="preserve"> </w:t>
      </w:r>
      <w:r>
        <w:t xml:space="preserve">canonical Specification as the reference for the federation, with such</w:t>
      </w:r>
      <w:r>
        <w:t xml:space="preserve"> </w:t>
      </w:r>
      <w:r>
        <w:t xml:space="preserve">accommodations of the resulting standard as the AI Trust Council</w:t>
      </w:r>
      <w:r>
        <w:t xml:space="preserve"> </w:t>
      </w:r>
      <w:r>
        <w:t xml:space="preserve">ratifies.</w:t>
      </w:r>
    </w:p>
    <w:p>
      <w:pPr>
        <w:pStyle w:val="BodyText"/>
      </w:pPr>
      <w:r>
        <w:rPr>
          <w:b/>
          <w:bCs/>
        </w:rPr>
        <w:t xml:space="preserve">Market risk.</w:t>
      </w:r>
      <w:r>
        <w:t xml:space="preserve"> </w:t>
      </w:r>
      <w:r>
        <w:t xml:space="preserve">The level of public, institutional, and</w:t>
      </w:r>
      <w:r>
        <w:t xml:space="preserve"> </w:t>
      </w:r>
      <w:r>
        <w:t xml:space="preserve">platform interest in content provenance and verifiable identity may not</w:t>
      </w:r>
      <w:r>
        <w:t xml:space="preserve"> </w:t>
      </w:r>
      <w:r>
        <w:t xml:space="preserve">develop at the rate or to the level necessary to support the operational</w:t>
      </w:r>
      <w:r>
        <w:t xml:space="preserve"> </w:t>
      </w:r>
      <w:r>
        <w:t xml:space="preserve">scaling described in Sections 11.2 through 11.4. The protocol’s response</w:t>
      </w:r>
      <w:r>
        <w:t xml:space="preserve"> </w:t>
      </w:r>
      <w:r>
        <w:t xml:space="preserve">is the disciplined cost structure of the federation, the published</w:t>
      </w:r>
      <w:r>
        <w:t xml:space="preserve"> </w:t>
      </w:r>
      <w:r>
        <w:t xml:space="preserve">licensing schedule, and the engagement strategy through standards</w:t>
      </w:r>
      <w:r>
        <w:t xml:space="preserve"> </w:t>
      </w:r>
      <w:r>
        <w:t xml:space="preserve">organizations and regulators.</w:t>
      </w:r>
    </w:p>
    <w:p>
      <w:pPr>
        <w:pStyle w:val="BodyText"/>
      </w:pPr>
      <w:r>
        <w:rPr>
          <w:b/>
          <w:bCs/>
        </w:rPr>
        <w:t xml:space="preserve">Operational risk.</w:t>
      </w:r>
      <w:r>
        <w:t xml:space="preserve"> </w:t>
      </w:r>
      <w:r>
        <w:t xml:space="preserve">The operational risks bearing on</w:t>
      </w:r>
      <w:r>
        <w:t xml:space="preserve"> </w:t>
      </w:r>
      <w:r>
        <w:t xml:space="preserve">the federation include the availability and capacity of the underlying</w:t>
      </w:r>
      <w:r>
        <w:t xml:space="preserve"> </w:t>
      </w:r>
      <w:r>
        <w:t xml:space="preserve">internet infrastructure, the availability of cryptographic primitive</w:t>
      </w:r>
      <w:r>
        <w:t xml:space="preserve"> </w:t>
      </w:r>
      <w:r>
        <w:t xml:space="preserve">implementations across the operating system and runtime base, and the</w:t>
      </w:r>
      <w:r>
        <w:t xml:space="preserve"> </w:t>
      </w:r>
      <w:r>
        <w:t xml:space="preserve">response of platforms to integration requests. These risks are addressed</w:t>
      </w:r>
      <w:r>
        <w:t xml:space="preserve"> </w:t>
      </w:r>
      <w:r>
        <w:t xml:space="preserve">by the Founding Node Operator Agreements, the Service Level Agreement,</w:t>
      </w:r>
      <w:r>
        <w:t xml:space="preserve"> </w:t>
      </w:r>
      <w:r>
        <w:t xml:space="preserve">and the integration partnership pipeline.</w:t>
      </w:r>
    </w:p>
    <w:bookmarkEnd w:id="263"/>
    <w:bookmarkStart w:id="264" w:name="X11365baa0fa882b20ee7dcd8fabe412d6599c0e"/>
    <w:p>
      <w:pPr>
        <w:pStyle w:val="Heading2"/>
      </w:pPr>
      <w:r>
        <w:t xml:space="preserve">11.6 Conditions for AI Trust Council Network Period reauthorization</w:t>
      </w:r>
    </w:p>
    <w:p>
      <w:pPr>
        <w:pStyle w:val="FirstParagraph"/>
      </w:pPr>
      <w:r>
        <w:t xml:space="preserve">The transition from the Founding Period to the Network Period, and</w:t>
      </w:r>
      <w:r>
        <w:t xml:space="preserve"> </w:t>
      </w:r>
      <w:r>
        <w:t xml:space="preserve">the corresponding reauthorization of the AI Trust Council under the</w:t>
      </w:r>
      <w:r>
        <w:t xml:space="preserve"> </w:t>
      </w:r>
      <w:r>
        <w:t xml:space="preserve">Network Period composition, are conditioned on the satisfaction of each</w:t>
      </w:r>
      <w:r>
        <w:t xml:space="preserve"> </w:t>
      </w:r>
      <w:r>
        <w:t xml:space="preserve">of the following conditions as ratified by supermajority vote of the</w:t>
      </w:r>
      <w:r>
        <w:t xml:space="preserve"> </w:t>
      </w:r>
      <w:r>
        <w:t xml:space="preserve">Council:</w:t>
      </w:r>
    </w:p>
    <w:p>
      <w:pPr>
        <w:numPr>
          <w:ilvl w:val="0"/>
          <w:numId w:val="1026"/>
        </w:numPr>
      </w:pPr>
      <w:r>
        <w:t xml:space="preserve">The publication of the inaugural annual transparency report of</w:t>
      </w:r>
      <w:r>
        <w:t xml:space="preserve"> </w:t>
      </w:r>
      <w:r>
        <w:t xml:space="preserve">the Council, and the publication of at least one subsequent annual</w:t>
      </w:r>
      <w:r>
        <w:t xml:space="preserve"> </w:t>
      </w:r>
      <w:r>
        <w:t xml:space="preserve">transparency report.</w:t>
      </w:r>
    </w:p>
    <w:p>
      <w:pPr>
        <w:numPr>
          <w:ilvl w:val="0"/>
          <w:numId w:val="1026"/>
        </w:numPr>
      </w:pPr>
      <w:r>
        <w:t xml:space="preserve">The accreditation of at least three Verification Providers</w:t>
      </w:r>
      <w:r>
        <w:t xml:space="preserve"> </w:t>
      </w:r>
      <w:r>
        <w:t xml:space="preserve">operating in at least three jurisdictions.</w:t>
      </w:r>
    </w:p>
    <w:p>
      <w:pPr>
        <w:numPr>
          <w:ilvl w:val="0"/>
          <w:numId w:val="1026"/>
        </w:numPr>
      </w:pPr>
      <w:r>
        <w:t xml:space="preserve">The presence of at least one Node Operator in each of the</w:t>
      </w:r>
      <w:r>
        <w:t xml:space="preserve"> </w:t>
      </w:r>
      <w:r>
        <w:t xml:space="preserve">principal regulatory zones identified in Part VII Section 7.6 (North</w:t>
      </w:r>
      <w:r>
        <w:t xml:space="preserve"> </w:t>
      </w:r>
      <w:r>
        <w:t xml:space="preserve">America, the European Union, the Indo-Pacific).</w:t>
      </w:r>
    </w:p>
    <w:p>
      <w:pPr>
        <w:numPr>
          <w:ilvl w:val="0"/>
          <w:numId w:val="1026"/>
        </w:numPr>
      </w:pPr>
      <w:r>
        <w:t xml:space="preserve">The completion of at least one bonded jury adjudication</w:t>
      </w:r>
      <w:r>
        <w:t xml:space="preserve"> </w:t>
      </w:r>
      <w:r>
        <w:t xml:space="preserve">proceeding to a published determination.</w:t>
      </w:r>
    </w:p>
    <w:p>
      <w:pPr>
        <w:numPr>
          <w:ilvl w:val="0"/>
          <w:numId w:val="1026"/>
        </w:numPr>
      </w:pPr>
      <w:r>
        <w:t xml:space="preserve">The publication of the CTID-to-EUDI-Wallet interoperability</w:t>
      </w:r>
      <w:r>
        <w:t xml:space="preserve"> </w:t>
      </w:r>
      <w:r>
        <w:t xml:space="preserve">profile.</w:t>
      </w:r>
    </w:p>
    <w:p>
      <w:pPr>
        <w:numPr>
          <w:ilvl w:val="0"/>
          <w:numId w:val="1026"/>
        </w:numPr>
      </w:pPr>
      <w:r>
        <w:t xml:space="preserve">The publication of at least one of CNA-IMG, CNA-VID, or</w:t>
      </w:r>
      <w:r>
        <w:t xml:space="preserve"> </w:t>
      </w:r>
      <w:r>
        <w:t xml:space="preserve">CNA-AUDIO.</w:t>
      </w:r>
    </w:p>
    <w:p>
      <w:pPr>
        <w:numPr>
          <w:ilvl w:val="0"/>
          <w:numId w:val="1026"/>
        </w:numPr>
      </w:pPr>
      <w:r>
        <w:t xml:space="preserve">The substantial completion of the transition to native ML-DSA-65</w:t>
      </w:r>
      <w:r>
        <w:t xml:space="preserve"> </w:t>
      </w:r>
      <w:r>
        <w:t xml:space="preserve">authenticator support, as determined by the Council.</w:t>
      </w:r>
    </w:p>
    <w:p>
      <w:pPr>
        <w:numPr>
          <w:ilvl w:val="0"/>
          <w:numId w:val="1026"/>
        </w:numPr>
      </w:pPr>
      <w:r>
        <w:t xml:space="preserve">The commencement of formal engagement with at least one standards</w:t>
      </w:r>
      <w:r>
        <w:t xml:space="preserve"> </w:t>
      </w:r>
      <w:r>
        <w:t xml:space="preserve">organization identified in Part IX Section 9.7.</w:t>
      </w:r>
    </w:p>
    <w:p>
      <w:pPr>
        <w:numPr>
          <w:ilvl w:val="0"/>
          <w:numId w:val="1026"/>
        </w:numPr>
      </w:pPr>
      <w:r>
        <w:t xml:space="preserve">The establishment of the Network Period economic model for</w:t>
      </w:r>
      <w:r>
        <w:t xml:space="preserve"> </w:t>
      </w:r>
      <w:r>
        <w:t xml:space="preserve">Verification Providers, as ratified by the Council.</w:t>
      </w:r>
    </w:p>
    <w:p>
      <w:pPr>
        <w:numPr>
          <w:ilvl w:val="0"/>
          <w:numId w:val="1026"/>
        </w:numPr>
      </w:pPr>
      <w:r>
        <w:t xml:space="preserve">The publication of the Network Period Charter, expanding voting</w:t>
      </w:r>
      <w:r>
        <w:t xml:space="preserve"> </w:t>
      </w:r>
      <w:r>
        <w:t xml:space="preserve">membership of the Council to include representatives of Node Operators,</w:t>
      </w:r>
      <w:r>
        <w:t xml:space="preserve"> </w:t>
      </w:r>
      <w:r>
        <w:t xml:space="preserve">Verification Providers, publishers, civil society organizations, and</w:t>
      </w:r>
      <w:r>
        <w:t xml:space="preserve"> </w:t>
      </w:r>
      <w:r>
        <w:t xml:space="preserve">academic institutions.</w:t>
      </w:r>
    </w:p>
    <w:p>
      <w:pPr>
        <w:pStyle w:val="FirstParagraph"/>
      </w:pPr>
      <w:r>
        <w:t xml:space="preserve">The Council may, on supermajority vote, defer the transition by</w:t>
      </w:r>
      <w:r>
        <w:t xml:space="preserve"> </w:t>
      </w:r>
      <w:r>
        <w:t xml:space="preserve">extending the Founding Period for such period as the Council</w:t>
      </w:r>
      <w:r>
        <w:t xml:space="preserve"> </w:t>
      </w:r>
      <w:r>
        <w:t xml:space="preserve">determines.</w:t>
      </w:r>
    </w:p>
    <w:bookmarkEnd w:id="264"/>
    <w:bookmarkStart w:id="265" w:name="statement-on-the-design-horizon"/>
    <w:p>
      <w:pPr>
        <w:pStyle w:val="Heading2"/>
      </w:pPr>
      <w:r>
        <w:t xml:space="preserve">11.7 Statement on the design horizon</w:t>
      </w:r>
    </w:p>
    <w:p>
      <w:pPr>
        <w:pStyle w:val="FirstParagraph"/>
      </w:pPr>
      <w:r>
        <w:t xml:space="preserve">The protocol is designed with the operational horizon of decades. The</w:t>
      </w:r>
      <w:r>
        <w:t xml:space="preserve"> </w:t>
      </w:r>
      <w:r>
        <w:t xml:space="preserve">cryptographic primitives are selected for durability against the</w:t>
      </w:r>
      <w:r>
        <w:t xml:space="preserve"> </w:t>
      </w:r>
      <w:r>
        <w:t xml:space="preserve">cryptographic developments of the next several decades. The append-only</w:t>
      </w:r>
      <w:r>
        <w:t xml:space="preserve"> </w:t>
      </w:r>
      <w:r>
        <w:t xml:space="preserve">DAG is structured for retention of TIP-CONTENT records on an analogous</w:t>
      </w:r>
      <w:r>
        <w:t xml:space="preserve"> </w:t>
      </w:r>
      <w:r>
        <w:t xml:space="preserve">horizon. The licensing structure converts to the permissive Apache</w:t>
      </w:r>
      <w:r>
        <w:t xml:space="preserve"> </w:t>
      </w:r>
      <w:r>
        <w:t xml:space="preserve">License 2.0 on January 1, 2031. The AI Trust Council Charter</w:t>
      </w:r>
      <w:r>
        <w:t xml:space="preserve"> </w:t>
      </w:r>
      <w:r>
        <w:t xml:space="preserve">contemplates reauthorization and Network Period operation on an</w:t>
      </w:r>
      <w:r>
        <w:t xml:space="preserve"> </w:t>
      </w:r>
      <w:r>
        <w:t xml:space="preserve">indefinite horizon.</w:t>
      </w:r>
    </w:p>
    <w:p>
      <w:pPr>
        <w:pStyle w:val="BodyText"/>
      </w:pPr>
      <w:r>
        <w:t xml:space="preserve">The selection of a long design horizon reflects the underlying social</w:t>
      </w:r>
      <w:r>
        <w:t xml:space="preserve"> </w:t>
      </w:r>
      <w:r>
        <w:t xml:space="preserve">purpose. Content authenticity, verifiable identity, and reputational</w:t>
      </w:r>
      <w:r>
        <w:t xml:space="preserve"> </w:t>
      </w:r>
      <w:r>
        <w:t xml:space="preserve">accountability are conditions of a society in which the public can rely</w:t>
      </w:r>
      <w:r>
        <w:t xml:space="preserve"> </w:t>
      </w:r>
      <w:r>
        <w:t xml:space="preserve">on the digital record of its institutions, its journalism, its courts,</w:t>
      </w:r>
      <w:r>
        <w:t xml:space="preserve"> </w:t>
      </w:r>
      <w:r>
        <w:t xml:space="preserve">and its democratic processes. The Trust Identity Protocol is offered as</w:t>
      </w:r>
      <w:r>
        <w:t xml:space="preserve"> </w:t>
      </w:r>
      <w:r>
        <w:t xml:space="preserve">a piece of foundational infrastructure for that condition over the long</w:t>
      </w:r>
      <w:r>
        <w:t xml:space="preserve"> </w:t>
      </w:r>
      <w:r>
        <w:t xml:space="preserve">term.</w:t>
      </w:r>
    </w:p>
    <w:p>
      <w:r>
        <w:pict>
          <v:rect style="width:0;height:1.5pt" o:hralign="center" o:hrstd="t" o:hr="t"/>
        </w:pict>
      </w:r>
    </w:p>
    <w:p>
      <w:pPr>
        <w:pStyle w:val="FirstParagraph"/>
      </w:pPr>
      <w:r>
        <w:rPr>
          <w:b/>
          <w:bCs/>
        </w:rPr>
        <w:t xml:space="preserve">Contact The AI Lab regarding Part XI</w:t>
      </w:r>
    </w:p>
    <w:p>
      <w:pPr>
        <w:pStyle w:val="BodyText"/>
      </w:pPr>
      <w:r>
        <w:t xml:space="preserve">Founding Node Operator Applications:</w:t>
      </w:r>
      <w:r>
        <w:t xml:space="preserve"> </w:t>
      </w:r>
      <w:r>
        <w:rPr>
          <w:rStyle w:val="VerbatimChar"/>
        </w:rPr>
        <w:t xml:space="preserve">nodes@theailab.org</w:t>
      </w:r>
      <w:r>
        <w:t xml:space="preserve"> </w:t>
      </w:r>
      <w:r>
        <w:t xml:space="preserve">, theailab.org/founding-node AI Trust Council:</w:t>
      </w:r>
      <w:r>
        <w:t xml:space="preserve"> </w:t>
      </w:r>
      <w:r>
        <w:rPr>
          <w:rStyle w:val="VerbatimChar"/>
        </w:rPr>
        <w:t xml:space="preserve">council@theailab.org</w:t>
      </w:r>
      <w:r>
        <w:t xml:space="preserve">, theailab.org/ai-trust-council</w:t>
      </w:r>
      <w:r>
        <w:t xml:space="preserve"> </w:t>
      </w:r>
      <w:r>
        <w:t xml:space="preserve">Standards Engagement:</w:t>
      </w:r>
      <w:r>
        <w:t xml:space="preserve"> </w:t>
      </w:r>
      <w:r>
        <w:rPr>
          <w:rStyle w:val="VerbatimChar"/>
        </w:rPr>
        <w:t xml:space="preserve">standards@theailab.org</w:t>
      </w:r>
      <w:r>
        <w:t xml:space="preserve"> </w:t>
      </w:r>
      <w:r>
        <w:t xml:space="preserve">General</w:t>
      </w:r>
      <w:r>
        <w:t xml:space="preserve"> </w:t>
      </w:r>
      <w:r>
        <w:t xml:space="preserve">Counsel:</w:t>
      </w:r>
      <w:r>
        <w:t xml:space="preserve"> </w:t>
      </w:r>
      <w:r>
        <w:rPr>
          <w:rStyle w:val="VerbatimChar"/>
        </w:rPr>
        <w:t xml:space="preserve">legal@theailab.org</w:t>
      </w:r>
    </w:p>
    <w:p>
      <w:pPr>
        <w:pStyle w:val="BodyText"/>
      </w:pPr>
      <w:r>
        <w:t xml:space="preserve">The AI Lab Intelligence Unobscured, Inc. Wilmington, Delaware, United</w:t>
      </w:r>
      <w:r>
        <w:t xml:space="preserve"> </w:t>
      </w:r>
      <w:r>
        <w:t xml:space="preserve">States.</w:t>
      </w:r>
    </w:p>
    <w:bookmarkEnd w:id="265"/>
    <w:bookmarkEnd w:id="266"/>
    <w:bookmarkStart w:id="267" w:name="appendix-a-glossary-of-defined-terms"/>
    <w:p>
      <w:pPr>
        <w:pStyle w:val="Heading1"/>
      </w:pPr>
      <w:r>
        <w:t xml:space="preserve">Appendix A: Glossary of Defined Terms</w:t>
      </w:r>
    </w:p>
    <w:p>
      <w:pPr>
        <w:pStyle w:val="FirstParagraph"/>
      </w:pPr>
      <w:r>
        <w:t xml:space="preserve">Each Capitalized Term used in this whitepaper has the meaning given</w:t>
      </w:r>
      <w:r>
        <w:t xml:space="preserve"> </w:t>
      </w:r>
      <w:r>
        <w:t xml:space="preserve">to it in this Appendix or, where the term is defined in the substantive</w:t>
      </w:r>
      <w:r>
        <w:t xml:space="preserve"> </w:t>
      </w:r>
      <w:r>
        <w:t xml:space="preserve">Part, in the substantive Part. In the event of inconsistency between</w:t>
      </w:r>
      <w:r>
        <w:t xml:space="preserve"> </w:t>
      </w:r>
      <w:r>
        <w:t xml:space="preserve">this Appendix and a definition in a substantive Part, the substantive</w:t>
      </w:r>
      <w:r>
        <w:t xml:space="preserve"> </w:t>
      </w:r>
      <w:r>
        <w:t xml:space="preserve">Part controls.</w:t>
      </w:r>
    </w:p>
    <w:p>
      <w:pPr>
        <w:pStyle w:val="BodyText"/>
      </w:pPr>
      <w:r>
        <w:rPr>
          <w:b/>
          <w:bCs/>
        </w:rPr>
        <w:t xml:space="preserve">Accreditation Schedule</w:t>
      </w:r>
      <w:r>
        <w:t xml:space="preserve"> </w:t>
      </w:r>
      <w:r>
        <w:t xml:space="preserve">means the published schedule</w:t>
      </w:r>
      <w:r>
        <w:t xml:space="preserve"> </w:t>
      </w:r>
      <w:r>
        <w:t xml:space="preserve">under which a Verification Provider operates, identifying the grades of</w:t>
      </w:r>
      <w:r>
        <w:t xml:space="preserve"> </w:t>
      </w:r>
      <w:r>
        <w:t xml:space="preserve">CTID the Verification Provider may issue and the identity verification</w:t>
      </w:r>
      <w:r>
        <w:t xml:space="preserve"> </w:t>
      </w:r>
      <w:r>
        <w:t xml:space="preserve">practices applicable to each grade.</w:t>
      </w:r>
    </w:p>
    <w:p>
      <w:pPr>
        <w:pStyle w:val="BodyText"/>
      </w:pPr>
      <w:r>
        <w:rPr>
          <w:b/>
          <w:bCs/>
        </w:rPr>
        <w:t xml:space="preserve">Adjudicated Sub-Score</w:t>
      </w:r>
      <w:r>
        <w:t xml:space="preserve"> </w:t>
      </w:r>
      <w:r>
        <w:t xml:space="preserve">has the meaning given in Part</w:t>
      </w:r>
      <w:r>
        <w:t xml:space="preserve"> </w:t>
      </w:r>
      <w:r>
        <w:t xml:space="preserve">VI Section 6.2.3.</w:t>
      </w:r>
    </w:p>
    <w:p>
      <w:pPr>
        <w:pStyle w:val="BodyText"/>
      </w:pPr>
      <w:r>
        <w:rPr>
          <w:b/>
          <w:bCs/>
        </w:rPr>
        <w:t xml:space="preserve">AI Act</w:t>
      </w:r>
      <w:r>
        <w:t xml:space="preserve"> </w:t>
      </w:r>
      <w:r>
        <w:t xml:space="preserve">means Regulation (EU) 2024/1689 of the</w:t>
      </w:r>
      <w:r>
        <w:t xml:space="preserve"> </w:t>
      </w:r>
      <w:r>
        <w:t xml:space="preserve">European Parliament and of the Council of 13 June 2024 laying down</w:t>
      </w:r>
      <w:r>
        <w:t xml:space="preserve"> </w:t>
      </w:r>
      <w:r>
        <w:t xml:space="preserve">harmonised rules on artificial intelligence.</w:t>
      </w:r>
    </w:p>
    <w:p>
      <w:pPr>
        <w:pStyle w:val="BodyText"/>
      </w:pPr>
      <w:r>
        <w:rPr>
          <w:b/>
          <w:bCs/>
        </w:rPr>
        <w:t xml:space="preserve">AI Office</w:t>
      </w:r>
      <w:r>
        <w:t xml:space="preserve"> </w:t>
      </w:r>
      <w:r>
        <w:t xml:space="preserve">means the European Artificial Intelligence</w:t>
      </w:r>
      <w:r>
        <w:t xml:space="preserve"> </w:t>
      </w:r>
      <w:r>
        <w:t xml:space="preserve">Office established under the AI Act.</w:t>
      </w:r>
    </w:p>
    <w:p>
      <w:pPr>
        <w:pStyle w:val="BodyText"/>
      </w:pPr>
      <w:r>
        <w:rPr>
          <w:b/>
          <w:bCs/>
        </w:rPr>
        <w:t xml:space="preserve">The AI Lab</w:t>
      </w:r>
      <w:r>
        <w:t xml:space="preserve"> </w:t>
      </w:r>
      <w:r>
        <w:t xml:space="preserve">means The AI Lab Intelligence Unobscured,</w:t>
      </w:r>
      <w:r>
        <w:t xml:space="preserve"> </w:t>
      </w:r>
      <w:r>
        <w:t xml:space="preserve">Inc., a Delaware corporation with principal executive offices in</w:t>
      </w:r>
      <w:r>
        <w:t xml:space="preserve"> </w:t>
      </w:r>
      <w:r>
        <w:t xml:space="preserve">Wilmington, Delaware, United States.</w:t>
      </w:r>
    </w:p>
    <w:p>
      <w:pPr>
        <w:pStyle w:val="BodyText"/>
      </w:pPr>
      <w:r>
        <w:rPr>
          <w:b/>
          <w:bCs/>
        </w:rPr>
        <w:t xml:space="preserve">AI Trust Council</w:t>
      </w:r>
      <w:r>
        <w:t xml:space="preserve"> </w:t>
      </w:r>
      <w:r>
        <w:t xml:space="preserve">or</w:t>
      </w:r>
      <w:r>
        <w:t xml:space="preserve"> </w:t>
      </w:r>
      <w:r>
        <w:rPr>
          <w:b/>
          <w:bCs/>
        </w:rPr>
        <w:t xml:space="preserve">Council</w:t>
      </w:r>
      <w:r>
        <w:t xml:space="preserve"> </w:t>
      </w:r>
      <w:r>
        <w:t xml:space="preserve">means</w:t>
      </w:r>
      <w:r>
        <w:t xml:space="preserve"> </w:t>
      </w:r>
      <w:r>
        <w:t xml:space="preserve">the independent multi-stakeholder body established by The AI Lab to</w:t>
      </w:r>
      <w:r>
        <w:t xml:space="preserve"> </w:t>
      </w:r>
      <w:r>
        <w:t xml:space="preserve">ratify the governance, evolution, and enforcement of the Trust Identity</w:t>
      </w:r>
      <w:r>
        <w:t xml:space="preserve"> </w:t>
      </w:r>
      <w:r>
        <w:t xml:space="preserve">Protocol, operating under the Charter.</w:t>
      </w:r>
    </w:p>
    <w:p>
      <w:pPr>
        <w:pStyle w:val="BodyText"/>
      </w:pPr>
      <w:r>
        <w:rPr>
          <w:b/>
          <w:bCs/>
        </w:rPr>
        <w:t xml:space="preserve">Apache License 2.0 Conversion Provision</w:t>
      </w:r>
      <w:r>
        <w:t xml:space="preserve"> </w:t>
      </w:r>
      <w:r>
        <w:t xml:space="preserve">has the</w:t>
      </w:r>
      <w:r>
        <w:t xml:space="preserve"> </w:t>
      </w:r>
      <w:r>
        <w:t xml:space="preserve">meaning given in Part X Section 10.6.</w:t>
      </w:r>
    </w:p>
    <w:p>
      <w:pPr>
        <w:pStyle w:val="BodyText"/>
      </w:pPr>
      <w:r>
        <w:rPr>
          <w:b/>
          <w:bCs/>
        </w:rPr>
        <w:t xml:space="preserve">Authenticator</w:t>
      </w:r>
      <w:r>
        <w:t xml:space="preserve"> </w:t>
      </w:r>
      <w:r>
        <w:t xml:space="preserve">means a WebAuthn resident key</w:t>
      </w:r>
      <w:r>
        <w:t xml:space="preserve"> </w:t>
      </w:r>
      <w:r>
        <w:t xml:space="preserve">authenticator as described in Part IV Section 4.4.1.</w:t>
      </w:r>
    </w:p>
    <w:p>
      <w:pPr>
        <w:pStyle w:val="BodyText"/>
      </w:pPr>
      <w:r>
        <w:rPr>
          <w:b/>
          <w:bCs/>
        </w:rPr>
        <w:t xml:space="preserve">Behavioral Sub-Score</w:t>
      </w:r>
      <w:r>
        <w:t xml:space="preserve"> </w:t>
      </w:r>
      <w:r>
        <w:t xml:space="preserve">has the meaning given in Part</w:t>
      </w:r>
      <w:r>
        <w:t xml:space="preserve"> </w:t>
      </w:r>
      <w:r>
        <w:t xml:space="preserve">VI Section 6.2.2.</w:t>
      </w:r>
    </w:p>
    <w:p>
      <w:pPr>
        <w:pStyle w:val="BodyText"/>
      </w:pPr>
      <w:r>
        <w:rPr>
          <w:b/>
          <w:bCs/>
        </w:rPr>
        <w:t xml:space="preserve">Blocking Item</w:t>
      </w:r>
      <w:r>
        <w:t xml:space="preserve"> </w:t>
      </w:r>
      <w:r>
        <w:t xml:space="preserve">means a defined condition (numbered B1</w:t>
      </w:r>
      <w:r>
        <w:t xml:space="preserve"> </w:t>
      </w:r>
      <w:r>
        <w:t xml:space="preserve">through B6 in Part VI Section 6.4) that materially constrains or</w:t>
      </w:r>
      <w:r>
        <w:t xml:space="preserve"> </w:t>
      </w:r>
      <w:r>
        <w:t xml:space="preserve">suspends the operational utility of a CTID.</w:t>
      </w:r>
    </w:p>
    <w:p>
      <w:pPr>
        <w:pStyle w:val="BodyText"/>
      </w:pPr>
      <w:r>
        <w:rPr>
          <w:b/>
          <w:bCs/>
        </w:rPr>
        <w:t xml:space="preserve">Bonded Juror</w:t>
      </w:r>
      <w:r>
        <w:t xml:space="preserve"> </w:t>
      </w:r>
      <w:r>
        <w:t xml:space="preserve">has the meaning given in Part VI</w:t>
      </w:r>
      <w:r>
        <w:t xml:space="preserve"> </w:t>
      </w:r>
      <w:r>
        <w:t xml:space="preserve">Section 6.5.1.</w:t>
      </w:r>
    </w:p>
    <w:p>
      <w:pPr>
        <w:pStyle w:val="BodyText"/>
      </w:pPr>
      <w:r>
        <w:rPr>
          <w:b/>
          <w:bCs/>
        </w:rPr>
        <w:t xml:space="preserve">CC BY 4.0</w:t>
      </w:r>
      <w:r>
        <w:t xml:space="preserve"> </w:t>
      </w:r>
      <w:r>
        <w:t xml:space="preserve">means the Creative Commons Attribution 4.0</w:t>
      </w:r>
      <w:r>
        <w:t xml:space="preserve"> </w:t>
      </w:r>
      <w:r>
        <w:t xml:space="preserve">International Public License published by Creative Commons</w:t>
      </w:r>
      <w:r>
        <w:t xml:space="preserve"> </w:t>
      </w:r>
      <w:r>
        <w:t xml:space="preserve">Corporation.</w:t>
      </w:r>
    </w:p>
    <w:p>
      <w:pPr>
        <w:pStyle w:val="BodyText"/>
      </w:pPr>
      <w:r>
        <w:rPr>
          <w:b/>
          <w:bCs/>
        </w:rPr>
        <w:t xml:space="preserve">Charter</w:t>
      </w:r>
      <w:r>
        <w:t xml:space="preserve"> </w:t>
      </w:r>
      <w:r>
        <w:t xml:space="preserve">means the AI Trust Council Charter ratified</w:t>
      </w:r>
      <w:r>
        <w:t xml:space="preserve"> </w:t>
      </w:r>
      <w:r>
        <w:t xml:space="preserve">by the sole director of The AI Lab and published at</w:t>
      </w:r>
      <w:r>
        <w:t xml:space="preserve"> </w:t>
      </w:r>
      <w:r>
        <w:t xml:space="preserve">theailab.org/ai-trust-council.</w:t>
      </w:r>
    </w:p>
    <w:p>
      <w:pPr>
        <w:pStyle w:val="BodyText"/>
      </w:pPr>
      <w:r>
        <w:rPr>
          <w:b/>
          <w:bCs/>
        </w:rPr>
        <w:t xml:space="preserve">Class A Common Stock</w:t>
      </w:r>
      <w:r>
        <w:t xml:space="preserve"> </w:t>
      </w:r>
      <w:r>
        <w:t xml:space="preserve">means the Class A Common Stock</w:t>
      </w:r>
      <w:r>
        <w:t xml:space="preserve"> </w:t>
      </w:r>
      <w:r>
        <w:t xml:space="preserve">of The AI Lab, par value as specified in the Amended and Restated</w:t>
      </w:r>
      <w:r>
        <w:t xml:space="preserve"> </w:t>
      </w:r>
      <w:r>
        <w:t xml:space="preserve">Certificate of Incorporation, carrying ten votes per share.</w:t>
      </w:r>
    </w:p>
    <w:p>
      <w:pPr>
        <w:pStyle w:val="BodyText"/>
      </w:pPr>
      <w:r>
        <w:rPr>
          <w:b/>
          <w:bCs/>
        </w:rPr>
        <w:t xml:space="preserve">Class B Common Stock</w:t>
      </w:r>
      <w:r>
        <w:t xml:space="preserve"> </w:t>
      </w:r>
      <w:r>
        <w:t xml:space="preserve">means the Class B Common Stock</w:t>
      </w:r>
      <w:r>
        <w:t xml:space="preserve"> </w:t>
      </w:r>
      <w:r>
        <w:t xml:space="preserve">of The AI Lab, par value as specified in the Amended and Restated</w:t>
      </w:r>
      <w:r>
        <w:t xml:space="preserve"> </w:t>
      </w:r>
      <w:r>
        <w:t xml:space="preserve">Certificate of Incorporation, carrying one vote per share.</w:t>
      </w:r>
    </w:p>
    <w:p>
      <w:pPr>
        <w:pStyle w:val="BodyText"/>
      </w:pPr>
      <w:r>
        <w:rPr>
          <w:b/>
          <w:bCs/>
        </w:rPr>
        <w:t xml:space="preserve">CNA-1.0</w:t>
      </w:r>
      <w:r>
        <w:t xml:space="preserve"> </w:t>
      </w:r>
      <w:r>
        <w:t xml:space="preserve">means the Canonical Normalization Algorithm</w:t>
      </w:r>
      <w:r>
        <w:t xml:space="preserve"> </w:t>
      </w:r>
      <w:r>
        <w:t xml:space="preserve">Version 1.0, applicable to WordPress content as described in Part VIII</w:t>
      </w:r>
      <w:r>
        <w:t xml:space="preserve"> </w:t>
      </w:r>
      <w:r>
        <w:t xml:space="preserve">Section 8.4.1.</w:t>
      </w:r>
    </w:p>
    <w:p>
      <w:pPr>
        <w:pStyle w:val="BodyText"/>
      </w:pPr>
      <w:r>
        <w:rPr>
          <w:b/>
          <w:bCs/>
        </w:rPr>
        <w:t xml:space="preserve">CNA-2.2</w:t>
      </w:r>
      <w:r>
        <w:t xml:space="preserve"> </w:t>
      </w:r>
      <w:r>
        <w:t xml:space="preserve">means the Canonical Normalization Algorithm</w:t>
      </w:r>
      <w:r>
        <w:t xml:space="preserve"> </w:t>
      </w:r>
      <w:r>
        <w:t xml:space="preserve">Version 2.2, the principal normalization specified in Part V.</w:t>
      </w:r>
    </w:p>
    <w:p>
      <w:pPr>
        <w:pStyle w:val="BodyText"/>
      </w:pPr>
      <w:r>
        <w:rPr>
          <w:b/>
          <w:bCs/>
        </w:rPr>
        <w:t xml:space="preserve">CNA-IMG, CNA-VID, CNA-AUDIO</w:t>
      </w:r>
      <w:r>
        <w:t xml:space="preserve"> </w:t>
      </w:r>
      <w:r>
        <w:t xml:space="preserve">mean the image, video,</w:t>
      </w:r>
      <w:r>
        <w:t xml:space="preserve"> </w:t>
      </w:r>
      <w:r>
        <w:t xml:space="preserve">and audio variants of the Canonical Normalization Algorithm referenced</w:t>
      </w:r>
      <w:r>
        <w:t xml:space="preserve"> </w:t>
      </w:r>
      <w:r>
        <w:t xml:space="preserve">in Part V Section 5.1.</w:t>
      </w:r>
    </w:p>
    <w:p>
      <w:pPr>
        <w:pStyle w:val="BodyText"/>
      </w:pPr>
      <w:r>
        <w:rPr>
          <w:b/>
          <w:bCs/>
        </w:rPr>
        <w:t xml:space="preserve">Commercial License</w:t>
      </w:r>
      <w:r>
        <w:t xml:space="preserve"> </w:t>
      </w:r>
      <w:r>
        <w:t xml:space="preserve">means a license issued under</w:t>
      </w:r>
      <w:r>
        <w:t xml:space="preserve"> </w:t>
      </w:r>
      <w:r>
        <w:t xml:space="preserve">TIPCL-1.0 to a Person not eligible for the Free Tier, at the annual fee</w:t>
      </w:r>
      <w:r>
        <w:t xml:space="preserve"> </w:t>
      </w:r>
      <w:r>
        <w:t xml:space="preserve">identified in the Commercial Tier Schedule.</w:t>
      </w:r>
    </w:p>
    <w:p>
      <w:pPr>
        <w:pStyle w:val="BodyText"/>
      </w:pPr>
      <w:r>
        <w:rPr>
          <w:b/>
          <w:bCs/>
        </w:rPr>
        <w:t xml:space="preserve">Commercial Tier Schedule</w:t>
      </w:r>
      <w:r>
        <w:t xml:space="preserve"> </w:t>
      </w:r>
      <w:r>
        <w:t xml:space="preserve">means the nine-tier</w:t>
      </w:r>
      <w:r>
        <w:t xml:space="preserve"> </w:t>
      </w:r>
      <w:r>
        <w:t xml:space="preserve">schedule of Commercial License annual fees set out in Part X Section</w:t>
      </w:r>
      <w:r>
        <w:t xml:space="preserve"> </w:t>
      </w:r>
      <w:r>
        <w:t xml:space="preserve">10.3.2.</w:t>
      </w:r>
    </w:p>
    <w:p>
      <w:pPr>
        <w:pStyle w:val="BodyText"/>
      </w:pPr>
      <w:r>
        <w:rPr>
          <w:b/>
          <w:bCs/>
        </w:rPr>
        <w:t xml:space="preserve">CONTENT_UPDATED</w:t>
      </w:r>
      <w:r>
        <w:t xml:space="preserve"> </w:t>
      </w:r>
      <w:r>
        <w:t xml:space="preserve">means the event published to the</w:t>
      </w:r>
      <w:r>
        <w:t xml:space="preserve"> </w:t>
      </w:r>
      <w:r>
        <w:t xml:space="preserve">federated DAG identifying the modification of a content unit, as</w:t>
      </w:r>
      <w:r>
        <w:t xml:space="preserve"> </w:t>
      </w:r>
      <w:r>
        <w:t xml:space="preserve">described in Part V Section 5.5.2.</w:t>
      </w:r>
    </w:p>
    <w:p>
      <w:pPr>
        <w:pStyle w:val="BodyText"/>
      </w:pPr>
      <w:r>
        <w:rPr>
          <w:b/>
          <w:bCs/>
        </w:rPr>
        <w:t xml:space="preserve">Council</w:t>
      </w:r>
      <w:r>
        <w:t xml:space="preserve"> </w:t>
      </w:r>
      <w:r>
        <w:t xml:space="preserve">means the AI Trust Council.</w:t>
      </w:r>
    </w:p>
    <w:p>
      <w:pPr>
        <w:pStyle w:val="BodyText"/>
      </w:pPr>
      <w:r>
        <w:rPr>
          <w:b/>
          <w:bCs/>
        </w:rPr>
        <w:t xml:space="preserve">Council of Europe Framework Convention</w:t>
      </w:r>
      <w:r>
        <w:t xml:space="preserve"> </w:t>
      </w:r>
      <w:r>
        <w:t xml:space="preserve">means the</w:t>
      </w:r>
      <w:r>
        <w:t xml:space="preserve"> </w:t>
      </w:r>
      <w:r>
        <w:t xml:space="preserve">Council of Europe Framework Convention on Artificial Intelligence and</w:t>
      </w:r>
      <w:r>
        <w:t xml:space="preserve"> </w:t>
      </w:r>
      <w:r>
        <w:t xml:space="preserve">Human Rights, Democracy and the Rule of Law (CETS No. 225), opened for</w:t>
      </w:r>
      <w:r>
        <w:t xml:space="preserve"> </w:t>
      </w:r>
      <w:r>
        <w:t xml:space="preserve">signature on 5 September 2024.</w:t>
      </w:r>
    </w:p>
    <w:p>
      <w:pPr>
        <w:pStyle w:val="BodyText"/>
      </w:pPr>
      <w:r>
        <w:rPr>
          <w:b/>
          <w:bCs/>
        </w:rPr>
        <w:t xml:space="preserve">Creator Mode</w:t>
      </w:r>
      <w:r>
        <w:t xml:space="preserve"> </w:t>
      </w:r>
      <w:r>
        <w:t xml:space="preserve">has the meaning given in Part V Section</w:t>
      </w:r>
      <w:r>
        <w:t xml:space="preserve"> </w:t>
      </w:r>
      <w:r>
        <w:t xml:space="preserve">5.4.</w:t>
      </w:r>
    </w:p>
    <w:p>
      <w:pPr>
        <w:pStyle w:val="BodyText"/>
      </w:pPr>
      <w:r>
        <w:rPr>
          <w:b/>
          <w:bCs/>
        </w:rPr>
        <w:t xml:space="preserve">Cryptographic Sub-Score</w:t>
      </w:r>
      <w:r>
        <w:t xml:space="preserve"> </w:t>
      </w:r>
      <w:r>
        <w:t xml:space="preserve">has the meaning given in</w:t>
      </w:r>
      <w:r>
        <w:t xml:space="preserve"> </w:t>
      </w:r>
      <w:r>
        <w:t xml:space="preserve">Part VI Section 6.2.1.</w:t>
      </w:r>
    </w:p>
    <w:p>
      <w:pPr>
        <w:pStyle w:val="BodyText"/>
      </w:pPr>
      <w:r>
        <w:rPr>
          <w:b/>
          <w:bCs/>
        </w:rPr>
        <w:t xml:space="preserve">CTID</w:t>
      </w:r>
      <w:r>
        <w:t xml:space="preserve"> </w:t>
      </w:r>
      <w:r>
        <w:t xml:space="preserve">means a Cryptographic Trust Identity, the</w:t>
      </w:r>
      <w:r>
        <w:t xml:space="preserve"> </w:t>
      </w:r>
      <w:r>
        <w:t xml:space="preserve">pseudonymous identifier issued by a Verification Provider under Part</w:t>
      </w:r>
      <w:r>
        <w:t xml:space="preserve"> </w:t>
      </w:r>
      <w:r>
        <w:t xml:space="preserve">IV.</w:t>
      </w:r>
    </w:p>
    <w:p>
      <w:pPr>
        <w:pStyle w:val="BodyText"/>
      </w:pPr>
      <w:r>
        <w:rPr>
          <w:b/>
          <w:bCs/>
        </w:rPr>
        <w:t xml:space="preserve">Cyber Resilience Act</w:t>
      </w:r>
      <w:r>
        <w:t xml:space="preserve"> </w:t>
      </w:r>
      <w:r>
        <w:t xml:space="preserve">means Regulation (EU) 2024/2847</w:t>
      </w:r>
      <w:r>
        <w:t xml:space="preserve"> </w:t>
      </w:r>
      <w:r>
        <w:t xml:space="preserve">of the European Parliament and of the Council of 23 October 2024.</w:t>
      </w:r>
    </w:p>
    <w:p>
      <w:pPr>
        <w:pStyle w:val="BodyText"/>
      </w:pPr>
      <w:r>
        <w:rPr>
          <w:b/>
          <w:bCs/>
        </w:rPr>
        <w:t xml:space="preserve">DAG</w:t>
      </w:r>
      <w:r>
        <w:t xml:space="preserve"> </w:t>
      </w:r>
      <w:r>
        <w:t xml:space="preserve">means the federated, append-only directed</w:t>
      </w:r>
      <w:r>
        <w:t xml:space="preserve"> </w:t>
      </w:r>
      <w:r>
        <w:t xml:space="preserve">acyclic graph maintained by the federation of Node Operators on which</w:t>
      </w:r>
      <w:r>
        <w:t xml:space="preserve"> </w:t>
      </w:r>
      <w:r>
        <w:t xml:space="preserve">protocol events are recorded.</w:t>
      </w:r>
    </w:p>
    <w:p>
      <w:pPr>
        <w:pStyle w:val="BodyText"/>
      </w:pPr>
      <w:r>
        <w:rPr>
          <w:b/>
          <w:bCs/>
        </w:rPr>
        <w:t xml:space="preserve">Data Empowerment and Protection Architecture</w:t>
      </w:r>
      <w:r>
        <w:t xml:space="preserve"> </w:t>
      </w:r>
      <w:r>
        <w:t xml:space="preserve">or</w:t>
      </w:r>
      <w:r>
        <w:t xml:space="preserve"> </w:t>
      </w:r>
      <w:r>
        <w:rPr>
          <w:b/>
          <w:bCs/>
        </w:rPr>
        <w:t xml:space="preserve">DEPA</w:t>
      </w:r>
      <w:r>
        <w:t xml:space="preserve"> </w:t>
      </w:r>
      <w:r>
        <w:t xml:space="preserve">means the consent manager pattern developed in</w:t>
      </w:r>
      <w:r>
        <w:t xml:space="preserve"> </w:t>
      </w:r>
      <w:r>
        <w:t xml:space="preserve">India to operationalize consent-based data sharing.</w:t>
      </w:r>
    </w:p>
    <w:p>
      <w:pPr>
        <w:pStyle w:val="BodyText"/>
      </w:pPr>
      <w:r>
        <w:rPr>
          <w:b/>
          <w:bCs/>
        </w:rPr>
        <w:t xml:space="preserve">Digital Services Act</w:t>
      </w:r>
      <w:r>
        <w:t xml:space="preserve"> </w:t>
      </w:r>
      <w:r>
        <w:t xml:space="preserve">means Regulation (EU) 2022/2065</w:t>
      </w:r>
      <w:r>
        <w:t xml:space="preserve"> </w:t>
      </w:r>
      <w:r>
        <w:t xml:space="preserve">of the European Parliament and of the Council of 19 October 2022.</w:t>
      </w:r>
    </w:p>
    <w:p>
      <w:pPr>
        <w:pStyle w:val="BodyText"/>
      </w:pPr>
      <w:r>
        <w:rPr>
          <w:b/>
          <w:bCs/>
        </w:rPr>
        <w:t xml:space="preserve">DPDPA</w:t>
      </w:r>
      <w:r>
        <w:t xml:space="preserve"> </w:t>
      </w:r>
      <w:r>
        <w:t xml:space="preserve">means the Digital Personal Data Protection Act</w:t>
      </w:r>
      <w:r>
        <w:t xml:space="preserve"> </w:t>
      </w:r>
      <w:r>
        <w:t xml:space="preserve">2023 of India (Act No. 22 of 2023).</w:t>
      </w:r>
    </w:p>
    <w:p>
      <w:pPr>
        <w:pStyle w:val="BodyText"/>
      </w:pPr>
      <w:r>
        <w:rPr>
          <w:b/>
          <w:bCs/>
        </w:rPr>
        <w:t xml:space="preserve">eIDAS 2.0</w:t>
      </w:r>
      <w:r>
        <w:t xml:space="preserve"> </w:t>
      </w:r>
      <w:r>
        <w:t xml:space="preserve">means Regulation (EU) 910/2014 as amended</w:t>
      </w:r>
      <w:r>
        <w:t xml:space="preserve"> </w:t>
      </w:r>
      <w:r>
        <w:t xml:space="preserve">by Regulation (EU) 2024/1183.</w:t>
      </w:r>
    </w:p>
    <w:p>
      <w:pPr>
        <w:pStyle w:val="BodyText"/>
      </w:pPr>
      <w:r>
        <w:rPr>
          <w:b/>
          <w:bCs/>
        </w:rPr>
        <w:t xml:space="preserve">Entry</w:t>
      </w:r>
      <w:r>
        <w:t xml:space="preserve"> </w:t>
      </w:r>
      <w:r>
        <w:t xml:space="preserve">means a record in the federated DAG.</w:t>
      </w:r>
    </w:p>
    <w:p>
      <w:pPr>
        <w:pStyle w:val="BodyText"/>
      </w:pPr>
      <w:r>
        <w:rPr>
          <w:b/>
          <w:bCs/>
        </w:rPr>
        <w:t xml:space="preserve">EU AI Act</w:t>
      </w:r>
      <w:r>
        <w:t xml:space="preserve"> </w:t>
      </w:r>
      <w:r>
        <w:t xml:space="preserve">has the same meaning as AI Act.</w:t>
      </w:r>
    </w:p>
    <w:p>
      <w:pPr>
        <w:pStyle w:val="BodyText"/>
      </w:pPr>
      <w:r>
        <w:rPr>
          <w:b/>
          <w:bCs/>
        </w:rPr>
        <w:t xml:space="preserve">EUDI Wallet</w:t>
      </w:r>
      <w:r>
        <w:t xml:space="preserve"> </w:t>
      </w:r>
      <w:r>
        <w:t xml:space="preserve">means the European Digital Identity</w:t>
      </w:r>
      <w:r>
        <w:t xml:space="preserve"> </w:t>
      </w:r>
      <w:r>
        <w:t xml:space="preserve">Wallet contemplated by eIDAS 2.0.</w:t>
      </w:r>
    </w:p>
    <w:p>
      <w:pPr>
        <w:pStyle w:val="BodyText"/>
      </w:pPr>
      <w:r>
        <w:rPr>
          <w:b/>
          <w:bCs/>
        </w:rPr>
        <w:t xml:space="preserve">Federated Network</w:t>
      </w:r>
      <w:r>
        <w:t xml:space="preserve"> </w:t>
      </w:r>
      <w:r>
        <w:t xml:space="preserve">means the network of Node</w:t>
      </w:r>
      <w:r>
        <w:t xml:space="preserve"> </w:t>
      </w:r>
      <w:r>
        <w:t xml:space="preserve">Operators that together maintain the DAG.</w:t>
      </w:r>
    </w:p>
    <w:p>
      <w:pPr>
        <w:pStyle w:val="BodyText"/>
      </w:pPr>
      <w:r>
        <w:rPr>
          <w:b/>
          <w:bCs/>
        </w:rPr>
        <w:t xml:space="preserve">FIPS 203</w:t>
      </w:r>
      <w:r>
        <w:t xml:space="preserve"> </w:t>
      </w:r>
      <w:r>
        <w:t xml:space="preserve">means Federal Information Processing</w:t>
      </w:r>
      <w:r>
        <w:t xml:space="preserve"> </w:t>
      </w:r>
      <w:r>
        <w:t xml:space="preserve">Standard Publication 203 (ML-KEM), published by NIST in August 2024.</w:t>
      </w:r>
    </w:p>
    <w:p>
      <w:pPr>
        <w:pStyle w:val="BodyText"/>
      </w:pPr>
      <w:r>
        <w:rPr>
          <w:b/>
          <w:bCs/>
        </w:rPr>
        <w:t xml:space="preserve">FIPS 204</w:t>
      </w:r>
      <w:r>
        <w:t xml:space="preserve"> </w:t>
      </w:r>
      <w:r>
        <w:t xml:space="preserve">means Federal Information Processing</w:t>
      </w:r>
      <w:r>
        <w:t xml:space="preserve"> </w:t>
      </w:r>
      <w:r>
        <w:t xml:space="preserve">Standard Publication 204 (ML-DSA), published by NIST in August 2024.</w:t>
      </w:r>
    </w:p>
    <w:p>
      <w:pPr>
        <w:pStyle w:val="BodyText"/>
      </w:pPr>
      <w:r>
        <w:rPr>
          <w:b/>
          <w:bCs/>
        </w:rPr>
        <w:t xml:space="preserve">FIPS 205</w:t>
      </w:r>
      <w:r>
        <w:t xml:space="preserve"> </w:t>
      </w:r>
      <w:r>
        <w:t xml:space="preserve">means Federal Information Processing</w:t>
      </w:r>
      <w:r>
        <w:t xml:space="preserve"> </w:t>
      </w:r>
      <w:r>
        <w:t xml:space="preserve">Standard Publication 205 (SLH-DSA), published by NIST in August</w:t>
      </w:r>
      <w:r>
        <w:t xml:space="preserve"> </w:t>
      </w:r>
      <w:r>
        <w:t xml:space="preserve">2024.</w:t>
      </w:r>
    </w:p>
    <w:p>
      <w:pPr>
        <w:pStyle w:val="BodyText"/>
      </w:pPr>
      <w:r>
        <w:rPr>
          <w:b/>
          <w:bCs/>
        </w:rPr>
        <w:t xml:space="preserve">Founder Seat</w:t>
      </w:r>
      <w:r>
        <w:t xml:space="preserve"> </w:t>
      </w:r>
      <w:r>
        <w:t xml:space="preserve">has the meaning given in Part X Section</w:t>
      </w:r>
      <w:r>
        <w:t xml:space="preserve"> </w:t>
      </w:r>
      <w:r>
        <w:t xml:space="preserve">10.2.2.</w:t>
      </w:r>
    </w:p>
    <w:p>
      <w:pPr>
        <w:pStyle w:val="BodyText"/>
      </w:pPr>
      <w:r>
        <w:rPr>
          <w:b/>
          <w:bCs/>
        </w:rPr>
        <w:t xml:space="preserve">Founding Member</w:t>
      </w:r>
      <w:r>
        <w:t xml:space="preserve"> </w:t>
      </w:r>
      <w:r>
        <w:t xml:space="preserve">means a Founding Member of the AI</w:t>
      </w:r>
      <w:r>
        <w:t xml:space="preserve"> </w:t>
      </w:r>
      <w:r>
        <w:t xml:space="preserve">Trust Council as identified in Part X Section 10.2.2 and in the</w:t>
      </w:r>
      <w:r>
        <w:t xml:space="preserve"> </w:t>
      </w:r>
      <w:r>
        <w:t xml:space="preserve">Acknowledgments.</w:t>
      </w:r>
    </w:p>
    <w:p>
      <w:pPr>
        <w:pStyle w:val="BodyText"/>
      </w:pPr>
      <w:r>
        <w:rPr>
          <w:b/>
          <w:bCs/>
        </w:rPr>
        <w:t xml:space="preserve">Founding Node Operator</w:t>
      </w:r>
      <w:r>
        <w:t xml:space="preserve"> </w:t>
      </w:r>
      <w:r>
        <w:t xml:space="preserve">means a Node Operator party</w:t>
      </w:r>
      <w:r>
        <w:t xml:space="preserve"> </w:t>
      </w:r>
      <w:r>
        <w:t xml:space="preserve">to a Founding Node Operator Agreement with The AI Lab.</w:t>
      </w:r>
    </w:p>
    <w:p>
      <w:pPr>
        <w:pStyle w:val="BodyText"/>
      </w:pPr>
      <w:r>
        <w:rPr>
          <w:b/>
          <w:bCs/>
        </w:rPr>
        <w:t xml:space="preserve">Founding Period</w:t>
      </w:r>
      <w:r>
        <w:t xml:space="preserve"> </w:t>
      </w:r>
      <w:r>
        <w:t xml:space="preserve">means the operational period</w:t>
      </w:r>
      <w:r>
        <w:t xml:space="preserve"> </w:t>
      </w:r>
      <w:r>
        <w:t xml:space="preserve">commencing on the Genesis Date and concluding on a date determined by</w:t>
      </w:r>
      <w:r>
        <w:t xml:space="preserve"> </w:t>
      </w:r>
      <w:r>
        <w:t xml:space="preserve">The AI Lab in consultation with the Council.</w:t>
      </w:r>
    </w:p>
    <w:p>
      <w:pPr>
        <w:pStyle w:val="BodyText"/>
      </w:pPr>
      <w:r>
        <w:rPr>
          <w:b/>
          <w:bCs/>
        </w:rPr>
        <w:t xml:space="preserve">Genesis Date</w:t>
      </w:r>
      <w:r>
        <w:t xml:space="preserve"> </w:t>
      </w:r>
      <w:r>
        <w:t xml:space="preserve">means the date in June 2026 on which</w:t>
      </w:r>
      <w:r>
        <w:t xml:space="preserve"> </w:t>
      </w:r>
      <w:r>
        <w:t xml:space="preserve">the Trust Identity Protocol federated network commences live operation,</w:t>
      </w:r>
      <w:r>
        <w:t xml:space="preserve"> </w:t>
      </w:r>
      <w:r>
        <w:t xml:space="preserve">being the date determined by the sole director of The AI Lab</w:t>
      </w:r>
      <w:r>
        <w:t xml:space="preserve"> </w:t>
      </w:r>
      <w:r>
        <w:t xml:space="preserve">Intelligence Unobscured, Inc. on the satisfaction of the Operational</w:t>
      </w:r>
      <w:r>
        <w:t xml:space="preserve"> </w:t>
      </w:r>
      <w:r>
        <w:t xml:space="preserve">Readiness Conditions and published by The AI Lab not less than three (3)</w:t>
      </w:r>
      <w:r>
        <w:t xml:space="preserve"> </w:t>
      </w:r>
      <w:r>
        <w:t xml:space="preserve">business days in advance on theailab.org.</w:t>
      </w:r>
    </w:p>
    <w:p>
      <w:pPr>
        <w:pStyle w:val="BodyText"/>
      </w:pPr>
      <w:r>
        <w:rPr>
          <w:b/>
          <w:bCs/>
        </w:rPr>
        <w:t xml:space="preserve">Free Tier</w:t>
      </w:r>
      <w:r>
        <w:t xml:space="preserve"> </w:t>
      </w:r>
      <w:r>
        <w:t xml:space="preserve">has the meaning given in Part X Section</w:t>
      </w:r>
      <w:r>
        <w:t xml:space="preserve"> </w:t>
      </w:r>
      <w:r>
        <w:t xml:space="preserve">10.3.1.</w:t>
      </w:r>
    </w:p>
    <w:p>
      <w:pPr>
        <w:pStyle w:val="BodyText"/>
      </w:pPr>
      <w:r>
        <w:rPr>
          <w:b/>
          <w:bCs/>
        </w:rPr>
        <w:t xml:space="preserve">Full Node</w:t>
      </w:r>
      <w:r>
        <w:t xml:space="preserve"> </w:t>
      </w:r>
      <w:r>
        <w:t xml:space="preserve">has the meaning given in Part VII Section</w:t>
      </w:r>
      <w:r>
        <w:t xml:space="preserve"> </w:t>
      </w:r>
      <w:r>
        <w:t xml:space="preserve">7.2.2.</w:t>
      </w:r>
    </w:p>
    <w:p>
      <w:pPr>
        <w:pStyle w:val="BodyText"/>
      </w:pPr>
      <w:r>
        <w:rPr>
          <w:b/>
          <w:bCs/>
        </w:rPr>
        <w:t xml:space="preserve">GDPR</w:t>
      </w:r>
      <w:r>
        <w:t xml:space="preserve"> </w:t>
      </w:r>
      <w:r>
        <w:t xml:space="preserve">means Regulation (EU) 2016/679 of the European</w:t>
      </w:r>
      <w:r>
        <w:t xml:space="preserve"> </w:t>
      </w:r>
      <w:r>
        <w:t xml:space="preserve">Parliament and of the Council of 27 April 2016.</w:t>
      </w:r>
    </w:p>
    <w:p>
      <w:pPr>
        <w:pStyle w:val="BodyText"/>
      </w:pPr>
      <w:r>
        <w:rPr>
          <w:b/>
          <w:bCs/>
        </w:rPr>
        <w:t xml:space="preserve">Global Seal of Trust</w:t>
      </w:r>
      <w:r>
        <w:t xml:space="preserve"> </w:t>
      </w:r>
      <w:r>
        <w:t xml:space="preserve">has the meaning given in Part</w:t>
      </w:r>
      <w:r>
        <w:t xml:space="preserve"> </w:t>
      </w:r>
      <w:r>
        <w:t xml:space="preserve">VI Section 6.8.</w:t>
      </w:r>
    </w:p>
    <w:p>
      <w:pPr>
        <w:pStyle w:val="BodyText"/>
      </w:pPr>
      <w:r>
        <w:rPr>
          <w:b/>
          <w:bCs/>
        </w:rPr>
        <w:t xml:space="preserve">HKDF-SHA-512</w:t>
      </w:r>
      <w:r>
        <w:t xml:space="preserve"> </w:t>
      </w:r>
      <w:r>
        <w:t xml:space="preserve">means the HMAC-based Extract-and-Expand</w:t>
      </w:r>
      <w:r>
        <w:t xml:space="preserve"> </w:t>
      </w:r>
      <w:r>
        <w:t xml:space="preserve">Key Derivation Function with SHA-512 as the underlying hash function,</w:t>
      </w:r>
      <w:r>
        <w:t xml:space="preserve"> </w:t>
      </w:r>
      <w:r>
        <w:t xml:space="preserve">specified by RFC 5869.</w:t>
      </w:r>
    </w:p>
    <w:p>
      <w:pPr>
        <w:pStyle w:val="BodyText"/>
      </w:pPr>
      <w:r>
        <w:rPr>
          <w:b/>
          <w:bCs/>
        </w:rPr>
        <w:t xml:space="preserve">Independent Member</w:t>
      </w:r>
      <w:r>
        <w:t xml:space="preserve"> </w:t>
      </w:r>
      <w:r>
        <w:t xml:space="preserve">means a Member of the Council other</w:t>
      </w:r>
      <w:r>
        <w:t xml:space="preserve"> </w:t>
      </w:r>
      <w:r>
        <w:t xml:space="preserve">than the Founder Seat holder.</w:t>
      </w:r>
    </w:p>
    <w:p>
      <w:pPr>
        <w:pStyle w:val="BodyText"/>
      </w:pPr>
      <w:r>
        <w:rPr>
          <w:b/>
          <w:bCs/>
        </w:rPr>
        <w:t xml:space="preserve">Light Node</w:t>
      </w:r>
      <w:r>
        <w:t xml:space="preserve"> </w:t>
      </w:r>
      <w:r>
        <w:t xml:space="preserve">has the meaning given in Part VII Section</w:t>
      </w:r>
      <w:r>
        <w:t xml:space="preserve"> </w:t>
      </w:r>
      <w:r>
        <w:t xml:space="preserve">7.2.1.</w:t>
      </w:r>
    </w:p>
    <w:p>
      <w:pPr>
        <w:pStyle w:val="BodyText"/>
      </w:pPr>
      <w:r>
        <w:rPr>
          <w:b/>
          <w:bCs/>
        </w:rPr>
        <w:t xml:space="preserve">ML-DSA-65</w:t>
      </w:r>
      <w:r>
        <w:t xml:space="preserve"> </w:t>
      </w:r>
      <w:r>
        <w:t xml:space="preserve">means the Module-Lattice-Based Digital</w:t>
      </w:r>
      <w:r>
        <w:t xml:space="preserve"> </w:t>
      </w:r>
      <w:r>
        <w:t xml:space="preserve">Signature Algorithm at parameter set 65, specified by FIPS 204.</w:t>
      </w:r>
    </w:p>
    <w:p>
      <w:pPr>
        <w:pStyle w:val="BodyText"/>
      </w:pPr>
      <w:r>
        <w:rPr>
          <w:b/>
          <w:bCs/>
        </w:rPr>
        <w:t xml:space="preserve">ML-KEM-768</w:t>
      </w:r>
      <w:r>
        <w:t xml:space="preserve"> </w:t>
      </w:r>
      <w:r>
        <w:t xml:space="preserve">means the Module-Lattice-Based</w:t>
      </w:r>
      <w:r>
        <w:t xml:space="preserve"> </w:t>
      </w:r>
      <w:r>
        <w:t xml:space="preserve">Key-Encapsulation Mechanism at parameter set 768, specified by FIPS</w:t>
      </w:r>
      <w:r>
        <w:t xml:space="preserve"> </w:t>
      </w:r>
      <w:r>
        <w:t xml:space="preserve">203.</w:t>
      </w:r>
    </w:p>
    <w:p>
      <w:pPr>
        <w:pStyle w:val="BodyText"/>
      </w:pPr>
      <w:r>
        <w:rPr>
          <w:b/>
          <w:bCs/>
        </w:rPr>
        <w:t xml:space="preserve">Network Period</w:t>
      </w:r>
      <w:r>
        <w:t xml:space="preserve"> </w:t>
      </w:r>
      <w:r>
        <w:t xml:space="preserve">means the operational period</w:t>
      </w:r>
      <w:r>
        <w:t xml:space="preserve"> </w:t>
      </w:r>
      <w:r>
        <w:t xml:space="preserve">commencing on the conclusion of the Founding Period.</w:t>
      </w:r>
    </w:p>
    <w:p>
      <w:pPr>
        <w:pStyle w:val="BodyText"/>
      </w:pPr>
      <w:r>
        <w:rPr>
          <w:b/>
          <w:bCs/>
        </w:rPr>
        <w:t xml:space="preserve">Operational Readiness Conditions</w:t>
      </w:r>
      <w:r>
        <w:t xml:space="preserve"> </w:t>
      </w:r>
      <w:r>
        <w:t xml:space="preserve">means the</w:t>
      </w:r>
      <w:r>
        <w:t xml:space="preserve"> </w:t>
      </w:r>
      <w:r>
        <w:t xml:space="preserve">conditions identified in Part XI Section 11.1.1 of this whitepaper on</w:t>
      </w:r>
      <w:r>
        <w:t xml:space="preserve"> </w:t>
      </w:r>
      <w:r>
        <w:t xml:space="preserve">the satisfaction of which the Genesis Date may be set by the sole</w:t>
      </w:r>
      <w:r>
        <w:t xml:space="preserve"> </w:t>
      </w:r>
      <w:r>
        <w:t xml:space="preserve">director.</w:t>
      </w:r>
    </w:p>
    <w:p>
      <w:pPr>
        <w:pStyle w:val="BodyText"/>
      </w:pPr>
      <w:r>
        <w:rPr>
          <w:b/>
          <w:bCs/>
        </w:rPr>
        <w:t xml:space="preserve">Network Sub-Score</w:t>
      </w:r>
      <w:r>
        <w:t xml:space="preserve"> </w:t>
      </w:r>
      <w:r>
        <w:t xml:space="preserve">has the meaning given in Part VI</w:t>
      </w:r>
      <w:r>
        <w:t xml:space="preserve"> </w:t>
      </w:r>
      <w:r>
        <w:t xml:space="preserve">Section 6.2.4.</w:t>
      </w:r>
    </w:p>
    <w:p>
      <w:pPr>
        <w:pStyle w:val="BodyText"/>
      </w:pPr>
      <w:r>
        <w:rPr>
          <w:b/>
          <w:bCs/>
        </w:rPr>
        <w:t xml:space="preserve">NIS2 Directive</w:t>
      </w:r>
      <w:r>
        <w:t xml:space="preserve"> </w:t>
      </w:r>
      <w:r>
        <w:t xml:space="preserve">means Directive (EU) 2022/2555 of the</w:t>
      </w:r>
      <w:r>
        <w:t xml:space="preserve"> </w:t>
      </w:r>
      <w:r>
        <w:t xml:space="preserve">European Parliament and of the Council of 14 December 2022.</w:t>
      </w:r>
    </w:p>
    <w:p>
      <w:pPr>
        <w:pStyle w:val="BodyText"/>
      </w:pPr>
      <w:r>
        <w:rPr>
          <w:b/>
          <w:bCs/>
        </w:rPr>
        <w:t xml:space="preserve">NIST</w:t>
      </w:r>
      <w:r>
        <w:t xml:space="preserve"> </w:t>
      </w:r>
      <w:r>
        <w:t xml:space="preserve">means the United States National Institute of</w:t>
      </w:r>
      <w:r>
        <w:t xml:space="preserve"> </w:t>
      </w:r>
      <w:r>
        <w:t xml:space="preserve">Standards and Technology.</w:t>
      </w:r>
    </w:p>
    <w:p>
      <w:pPr>
        <w:pStyle w:val="BodyText"/>
      </w:pPr>
      <w:r>
        <w:rPr>
          <w:b/>
          <w:bCs/>
        </w:rPr>
        <w:t xml:space="preserve">Node Operator</w:t>
      </w:r>
      <w:r>
        <w:t xml:space="preserve"> </w:t>
      </w:r>
      <w:r>
        <w:t xml:space="preserve">means an organization operating a node</w:t>
      </w:r>
      <w:r>
        <w:t xml:space="preserve"> </w:t>
      </w:r>
      <w:r>
        <w:t xml:space="preserve">of the Federated Network under a Node Operator Agreement.</w:t>
      </w:r>
    </w:p>
    <w:p>
      <w:pPr>
        <w:pStyle w:val="BodyText"/>
      </w:pPr>
      <w:r>
        <w:rPr>
          <w:b/>
          <w:bCs/>
        </w:rPr>
        <w:t xml:space="preserve">Online Safety Act</w:t>
      </w:r>
      <w:r>
        <w:t xml:space="preserve"> </w:t>
      </w:r>
      <w:r>
        <w:t xml:space="preserve">means the Online Safety Act 2023</w:t>
      </w:r>
      <w:r>
        <w:t xml:space="preserve"> </w:t>
      </w:r>
      <w:r>
        <w:t xml:space="preserve">of the United Kingdom.</w:t>
      </w:r>
    </w:p>
    <w:p>
      <w:pPr>
        <w:pStyle w:val="BodyText"/>
      </w:pPr>
      <w:r>
        <w:rPr>
          <w:b/>
          <w:bCs/>
        </w:rPr>
        <w:t xml:space="preserve">Origin Code</w:t>
      </w:r>
      <w:r>
        <w:t xml:space="preserve"> </w:t>
      </w:r>
      <w:r>
        <w:t xml:space="preserve">means the four-letter classification</w:t>
      </w:r>
      <w:r>
        <w:t xml:space="preserve"> </w:t>
      </w:r>
      <w:r>
        <w:t xml:space="preserve">(OH, AA, AG, MX) defined in Part V Section 5.6.</w:t>
      </w:r>
    </w:p>
    <w:p>
      <w:pPr>
        <w:pStyle w:val="BodyText"/>
      </w:pPr>
      <w:r>
        <w:rPr>
          <w:b/>
          <w:bCs/>
        </w:rPr>
        <w:t xml:space="preserve">Person</w:t>
      </w:r>
      <w:r>
        <w:t xml:space="preserve"> </w:t>
      </w:r>
      <w:r>
        <w:t xml:space="preserve">means a natural person or an organization,</w:t>
      </w:r>
      <w:r>
        <w:t xml:space="preserve"> </w:t>
      </w:r>
      <w:r>
        <w:t xml:space="preserve">however constituted.</w:t>
      </w:r>
    </w:p>
    <w:p>
      <w:pPr>
        <w:pStyle w:val="BodyText"/>
      </w:pPr>
      <w:r>
        <w:rPr>
          <w:b/>
          <w:bCs/>
        </w:rPr>
        <w:t xml:space="preserve">Pre-Genesis Period</w:t>
      </w:r>
      <w:r>
        <w:t xml:space="preserve"> </w:t>
      </w:r>
      <w:r>
        <w:t xml:space="preserve">means the period commencing on</w:t>
      </w:r>
      <w:r>
        <w:t xml:space="preserve"> </w:t>
      </w:r>
      <w:r>
        <w:t xml:space="preserve">June 1, 2026 and concluding on the Genesis Date, during which the</w:t>
      </w:r>
      <w:r>
        <w:t xml:space="preserve"> </w:t>
      </w:r>
      <w:r>
        <w:t xml:space="preserve">federated network is being stood up by the Founding Node Operators in</w:t>
      </w:r>
      <w:r>
        <w:t xml:space="preserve"> </w:t>
      </w:r>
      <w:r>
        <w:t xml:space="preserve">pre-Genesis operating mode but does not accept production protocol</w:t>
      </w:r>
      <w:r>
        <w:t xml:space="preserve"> </w:t>
      </w:r>
      <w:r>
        <w:t xml:space="preserve">events.</w:t>
      </w:r>
    </w:p>
    <w:p>
      <w:pPr>
        <w:pStyle w:val="BodyText"/>
      </w:pPr>
      <w:r>
        <w:rPr>
          <w:b/>
          <w:bCs/>
        </w:rPr>
        <w:t xml:space="preserve">Privacy Act 2020</w:t>
      </w:r>
      <w:r>
        <w:t xml:space="preserve"> </w:t>
      </w:r>
      <w:r>
        <w:t xml:space="preserve">means the Privacy Act 2020 of New</w:t>
      </w:r>
      <w:r>
        <w:t xml:space="preserve"> </w:t>
      </w:r>
      <w:r>
        <w:t xml:space="preserve">Zealand (Act No. 31 of 2020).</w:t>
      </w:r>
    </w:p>
    <w:p>
      <w:pPr>
        <w:pStyle w:val="BodyText"/>
      </w:pPr>
      <w:r>
        <w:rPr>
          <w:b/>
          <w:bCs/>
        </w:rPr>
        <w:t xml:space="preserve">Publisher Mode</w:t>
      </w:r>
      <w:r>
        <w:t xml:space="preserve"> </w:t>
      </w:r>
      <w:r>
        <w:t xml:space="preserve">has the meaning given in Part V</w:t>
      </w:r>
      <w:r>
        <w:t xml:space="preserve"> </w:t>
      </w:r>
      <w:r>
        <w:t xml:space="preserve">Section 5.3.</w:t>
      </w:r>
    </w:p>
    <w:p>
      <w:pPr>
        <w:pStyle w:val="BodyText"/>
      </w:pPr>
      <w:r>
        <w:rPr>
          <w:b/>
          <w:bCs/>
        </w:rPr>
        <w:t xml:space="preserve">SLH-DSA</w:t>
      </w:r>
      <w:r>
        <w:t xml:space="preserve"> </w:t>
      </w:r>
      <w:r>
        <w:t xml:space="preserve">means the Stateless Hash-Based Digital</w:t>
      </w:r>
      <w:r>
        <w:t xml:space="preserve"> </w:t>
      </w:r>
      <w:r>
        <w:t xml:space="preserve">Signature Algorithm, specified by FIPS 205. SLH-DSA-SHA2-192s is the</w:t>
      </w:r>
      <w:r>
        <w:t xml:space="preserve"> </w:t>
      </w:r>
      <w:r>
        <w:t xml:space="preserve">parameter set identified for the protocol’s optional long-term archival</w:t>
      </w:r>
      <w:r>
        <w:t xml:space="preserve"> </w:t>
      </w:r>
      <w:r>
        <w:t xml:space="preserve">signature use case.</w:t>
      </w:r>
    </w:p>
    <w:p>
      <w:pPr>
        <w:pStyle w:val="BodyText"/>
      </w:pPr>
      <w:r>
        <w:rPr>
          <w:b/>
          <w:bCs/>
        </w:rPr>
        <w:t xml:space="preserve">Specification</w:t>
      </w:r>
      <w:r>
        <w:t xml:space="preserve"> </w:t>
      </w:r>
      <w:r>
        <w:t xml:space="preserve">means the canonical TIP Protocol</w:t>
      </w:r>
      <w:r>
        <w:t xml:space="preserve"> </w:t>
      </w:r>
      <w:r>
        <w:t xml:space="preserve">Specification published by The AI Lab.</w:t>
      </w:r>
    </w:p>
    <w:p>
      <w:pPr>
        <w:pStyle w:val="BodyText"/>
      </w:pPr>
      <w:r>
        <w:rPr>
          <w:b/>
          <w:bCs/>
        </w:rPr>
        <w:t xml:space="preserve">TIP</w:t>
      </w:r>
      <w:r>
        <w:t xml:space="preserve"> </w:t>
      </w:r>
      <w:r>
        <w:t xml:space="preserve">or</w:t>
      </w:r>
      <w:r>
        <w:t xml:space="preserve"> </w:t>
      </w:r>
      <w:r>
        <w:rPr>
          <w:b/>
          <w:bCs/>
        </w:rPr>
        <w:t xml:space="preserve">Trust Identity Protocol</w:t>
      </w:r>
      <w:r>
        <w:t xml:space="preserve"> </w:t>
      </w:r>
      <w:r>
        <w:t xml:space="preserve">means the technical framework described in this whitepaper and in the</w:t>
      </w:r>
      <w:r>
        <w:t xml:space="preserve"> </w:t>
      </w:r>
      <w:r>
        <w:t xml:space="preserve">Specification.</w:t>
      </w:r>
    </w:p>
    <w:p>
      <w:pPr>
        <w:pStyle w:val="BodyText"/>
      </w:pPr>
      <w:r>
        <w:rPr>
          <w:b/>
          <w:bCs/>
        </w:rPr>
        <w:t xml:space="preserve">TIP-CONTENT</w:t>
      </w:r>
      <w:r>
        <w:t xml:space="preserve"> </w:t>
      </w:r>
      <w:r>
        <w:t xml:space="preserve">means the content provenance layer of</w:t>
      </w:r>
      <w:r>
        <w:t xml:space="preserve"> </w:t>
      </w:r>
      <w:r>
        <w:t xml:space="preserve">the Trust Identity Protocol defined in Part V.</w:t>
      </w:r>
    </w:p>
    <w:p>
      <w:pPr>
        <w:pStyle w:val="BodyText"/>
      </w:pPr>
      <w:r>
        <w:rPr>
          <w:b/>
          <w:bCs/>
        </w:rPr>
        <w:t xml:space="preserve">TIP-CONTENT Record</w:t>
      </w:r>
      <w:r>
        <w:t xml:space="preserve"> </w:t>
      </w:r>
      <w:r>
        <w:t xml:space="preserve">means the signed message</w:t>
      </w:r>
      <w:r>
        <w:t xml:space="preserve"> </w:t>
      </w:r>
      <w:r>
        <w:t xml:space="preserve">structured as described in Part V Section 5.7.</w:t>
      </w:r>
    </w:p>
    <w:p>
      <w:pPr>
        <w:pStyle w:val="BodyText"/>
      </w:pPr>
      <w:r>
        <w:rPr>
          <w:b/>
          <w:bCs/>
        </w:rPr>
        <w:t xml:space="preserve">TIPCL-1.0</w:t>
      </w:r>
      <w:r>
        <w:t xml:space="preserve"> </w:t>
      </w:r>
      <w:r>
        <w:t xml:space="preserve">means the TIP Protocol Code License,</w:t>
      </w:r>
      <w:r>
        <w:t xml:space="preserve"> </w:t>
      </w:r>
      <w:r>
        <w:t xml:space="preserve">Version 1.0, as published by The AI Lab and incorporated by reference as</w:t>
      </w:r>
      <w:r>
        <w:t xml:space="preserve"> </w:t>
      </w:r>
      <w:r>
        <w:t xml:space="preserve">Appendix F.</w:t>
      </w:r>
    </w:p>
    <w:p>
      <w:pPr>
        <w:pStyle w:val="BodyText"/>
      </w:pPr>
      <w:r>
        <w:rPr>
          <w:b/>
          <w:bCs/>
        </w:rPr>
        <w:t xml:space="preserve">TIP-ID</w:t>
      </w:r>
      <w:r>
        <w:t xml:space="preserve"> </w:t>
      </w:r>
      <w:r>
        <w:t xml:space="preserve">means the identity layer of the Trust</w:t>
      </w:r>
      <w:r>
        <w:t xml:space="preserve"> </w:t>
      </w:r>
      <w:r>
        <w:t xml:space="preserve">Identity Protocol defined in Part IV.</w:t>
      </w:r>
    </w:p>
    <w:p>
      <w:pPr>
        <w:pStyle w:val="BodyText"/>
      </w:pPr>
      <w:r>
        <w:rPr>
          <w:b/>
          <w:bCs/>
        </w:rPr>
        <w:t xml:space="preserve">TIP-TRUST</w:t>
      </w:r>
      <w:r>
        <w:t xml:space="preserve"> </w:t>
      </w:r>
      <w:r>
        <w:t xml:space="preserve">means the reputation layer of the Trust</w:t>
      </w:r>
      <w:r>
        <w:t xml:space="preserve"> </w:t>
      </w:r>
      <w:r>
        <w:t xml:space="preserve">Identity Protocol defined in Part VI.</w:t>
      </w:r>
    </w:p>
    <w:p>
      <w:pPr>
        <w:pStyle w:val="BodyText"/>
      </w:pPr>
      <w:r>
        <w:rPr>
          <w:b/>
          <w:bCs/>
        </w:rPr>
        <w:t xml:space="preserve">Trademark Usage Policy</w:t>
      </w:r>
      <w:r>
        <w:t xml:space="preserve"> </w:t>
      </w:r>
      <w:r>
        <w:t xml:space="preserve">means the policy described in</w:t>
      </w:r>
      <w:r>
        <w:t xml:space="preserve"> </w:t>
      </w:r>
      <w:r>
        <w:t xml:space="preserve">Part X Section 10.5.</w:t>
      </w:r>
    </w:p>
    <w:p>
      <w:pPr>
        <w:pStyle w:val="BodyText"/>
      </w:pPr>
      <w:r>
        <w:rPr>
          <w:b/>
          <w:bCs/>
        </w:rPr>
        <w:t xml:space="preserve">Trust Score</w:t>
      </w:r>
      <w:r>
        <w:t xml:space="preserve"> </w:t>
      </w:r>
      <w:r>
        <w:t xml:space="preserve">has the meaning given in Part VI Section</w:t>
      </w:r>
      <w:r>
        <w:t xml:space="preserve"> </w:t>
      </w:r>
      <w:r>
        <w:t xml:space="preserve">6.1.</w:t>
      </w:r>
    </w:p>
    <w:p>
      <w:pPr>
        <w:pStyle w:val="BodyText"/>
      </w:pPr>
      <w:r>
        <w:rPr>
          <w:b/>
          <w:bCs/>
        </w:rPr>
        <w:t xml:space="preserve">Trust Score Tier</w:t>
      </w:r>
      <w:r>
        <w:t xml:space="preserve"> </w:t>
      </w:r>
      <w:r>
        <w:t xml:space="preserve">means one of the five</w:t>
      </w:r>
      <w:r>
        <w:t xml:space="preserve"> </w:t>
      </w:r>
      <w:r>
        <w:t xml:space="preserve">normative reader-facing tiers (HIGHLY_TRUSTED, TRUSTED,</w:t>
      </w:r>
      <w:r>
        <w:t xml:space="preserve"> </w:t>
      </w:r>
      <w:r>
        <w:t xml:space="preserve">REVIEW_ADVISED, LOW_TRUST, NOT_TRUSTED) defined in Part VI Section</w:t>
      </w:r>
      <w:r>
        <w:t xml:space="preserve"> </w:t>
      </w:r>
      <w:r>
        <w:t xml:space="preserve">6.3, with score-range boundaries, icons, and colors as set forth</w:t>
      </w:r>
      <w:r>
        <w:t xml:space="preserve"> </w:t>
      </w:r>
      <w:r>
        <w:t xml:space="preserve">therein.</w:t>
      </w:r>
    </w:p>
    <w:p>
      <w:pPr>
        <w:pStyle w:val="BodyText"/>
      </w:pPr>
      <w:r>
        <w:rPr>
          <w:b/>
          <w:bCs/>
        </w:rPr>
        <w:t xml:space="preserve">United States Copyright Office</w:t>
      </w:r>
      <w:r>
        <w:t xml:space="preserve"> </w:t>
      </w:r>
      <w:r>
        <w:t xml:space="preserve">or</w:t>
      </w:r>
      <w:r>
        <w:t xml:space="preserve"> </w:t>
      </w:r>
      <w:r>
        <w:rPr>
          <w:b/>
          <w:bCs/>
        </w:rPr>
        <w:t xml:space="preserve">USCO</w:t>
      </w:r>
      <w:r>
        <w:t xml:space="preserve"> </w:t>
      </w:r>
      <w:r>
        <w:t xml:space="preserve">means the United States Copyright Office.</w:t>
      </w:r>
    </w:p>
    <w:p>
      <w:pPr>
        <w:pStyle w:val="BodyText"/>
      </w:pPr>
      <w:r>
        <w:rPr>
          <w:b/>
          <w:bCs/>
        </w:rPr>
        <w:t xml:space="preserve">United States Patent and Trademark Office</w:t>
      </w:r>
      <w:r>
        <w:t xml:space="preserve"> </w:t>
      </w:r>
      <w:r>
        <w:t xml:space="preserve">or</w:t>
      </w:r>
      <w:r>
        <w:t xml:space="preserve"> </w:t>
      </w:r>
      <w:r>
        <w:rPr>
          <w:b/>
          <w:bCs/>
        </w:rPr>
        <w:t xml:space="preserve">USPTO</w:t>
      </w:r>
      <w:r>
        <w:t xml:space="preserve"> </w:t>
      </w:r>
      <w:r>
        <w:t xml:space="preserve">means the United States Patent and Trademark</w:t>
      </w:r>
      <w:r>
        <w:t xml:space="preserve"> </w:t>
      </w:r>
      <w:r>
        <w:t xml:space="preserve">Office.</w:t>
      </w:r>
    </w:p>
    <w:p>
      <w:pPr>
        <w:pStyle w:val="BodyText"/>
      </w:pPr>
      <w:r>
        <w:rPr>
          <w:b/>
          <w:bCs/>
        </w:rPr>
        <w:t xml:space="preserve">Verification Provider</w:t>
      </w:r>
      <w:r>
        <w:t xml:space="preserve"> </w:t>
      </w:r>
      <w:r>
        <w:t xml:space="preserve">or</w:t>
      </w:r>
      <w:r>
        <w:t xml:space="preserve"> </w:t>
      </w:r>
      <w:r>
        <w:rPr>
          <w:b/>
          <w:bCs/>
        </w:rPr>
        <w:t xml:space="preserve">VP</w:t>
      </w:r>
      <w:r>
        <w:t xml:space="preserve"> </w:t>
      </w:r>
      <w:r>
        <w:t xml:space="preserve">means</w:t>
      </w:r>
      <w:r>
        <w:t xml:space="preserve"> </w:t>
      </w:r>
      <w:r>
        <w:t xml:space="preserve">an organization accredited by the Council, on the recommendation of The</w:t>
      </w:r>
      <w:r>
        <w:t xml:space="preserve"> </w:t>
      </w:r>
      <w:r>
        <w:t xml:space="preserve">AI Lab, to issue CTIDs.</w:t>
      </w:r>
    </w:p>
    <w:p>
      <w:pPr>
        <w:pStyle w:val="BodyText"/>
      </w:pPr>
      <w:r>
        <w:rPr>
          <w:b/>
          <w:bCs/>
        </w:rPr>
        <w:t xml:space="preserve">Verification Provider Registry</w:t>
      </w:r>
      <w:r>
        <w:t xml:space="preserve"> </w:t>
      </w:r>
      <w:r>
        <w:t xml:space="preserve">means the public</w:t>
      </w:r>
      <w:r>
        <w:t xml:space="preserve"> </w:t>
      </w:r>
      <w:r>
        <w:t xml:space="preserve">registry of accredited Verification Providers maintained by The AI</w:t>
      </w:r>
      <w:r>
        <w:t xml:space="preserve"> </w:t>
      </w:r>
      <w:r>
        <w:t xml:space="preserve">Lab.</w:t>
      </w:r>
    </w:p>
    <w:p>
      <w:pPr>
        <w:pStyle w:val="BodyText"/>
      </w:pPr>
      <w:r>
        <w:rPr>
          <w:b/>
          <w:bCs/>
        </w:rPr>
        <w:t xml:space="preserve">WebAuthn</w:t>
      </w:r>
      <w:r>
        <w:t xml:space="preserve"> </w:t>
      </w:r>
      <w:r>
        <w:t xml:space="preserve">means the World Wide Web Consortium Web</w:t>
      </w:r>
      <w:r>
        <w:t xml:space="preserve"> </w:t>
      </w:r>
      <w:r>
        <w:t xml:space="preserve">Authentication specification, Level 3 (or such successor as the Council</w:t>
      </w:r>
      <w:r>
        <w:t xml:space="preserve"> </w:t>
      </w:r>
      <w:r>
        <w:t xml:space="preserve">recognizes).</w:t>
      </w:r>
    </w:p>
    <w:bookmarkEnd w:id="267"/>
    <w:bookmarkStart w:id="268" w:name="appendix-b-acronym-index"/>
    <w:p>
      <w:pPr>
        <w:pStyle w:val="Heading1"/>
      </w:pPr>
      <w:r>
        <w:t xml:space="preserve">Appendix B: Acronym Index</w:t>
      </w:r>
    </w:p>
    <w:p>
      <w:pPr>
        <w:pStyle w:val="FirstParagraph"/>
      </w:pPr>
      <w:r>
        <w:t xml:space="preserve">This Appendix indexes the acronyms used in this whitepaper. Each</w:t>
      </w:r>
      <w:r>
        <w:t xml:space="preserve"> </w:t>
      </w:r>
      <w:r>
        <w:t xml:space="preserve">acronym is defined on first use in the relevant Part.</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Acronym</w:t>
            </w:r>
          </w:p>
        </w:tc>
        <w:tc>
          <w:tcPr/>
          <w:p>
            <w:pPr>
              <w:pStyle w:val="Compact"/>
            </w:pPr>
            <w:r>
              <w:t xml:space="preserve">Expansion</w:t>
            </w:r>
          </w:p>
        </w:tc>
        <w:tc>
          <w:tcPr/>
          <w:p>
            <w:pPr>
              <w:pStyle w:val="Compact"/>
            </w:pPr>
            <w:r>
              <w:t xml:space="preserve">Reference</w:t>
            </w:r>
          </w:p>
        </w:tc>
      </w:tr>
      <w:tr>
        <w:tc>
          <w:tcPr/>
          <w:p>
            <w:pPr>
              <w:pStyle w:val="Compact"/>
            </w:pPr>
            <w:r>
              <w:t xml:space="preserve">AA</w:t>
            </w:r>
          </w:p>
        </w:tc>
        <w:tc>
          <w:tcPr/>
          <w:p>
            <w:pPr>
              <w:pStyle w:val="Compact"/>
            </w:pPr>
            <w:r>
              <w:t xml:space="preserve">AI-Assisted (Origin Code)</w:t>
            </w:r>
          </w:p>
        </w:tc>
        <w:tc>
          <w:tcPr/>
          <w:p>
            <w:pPr>
              <w:pStyle w:val="Compact"/>
            </w:pPr>
            <w:r>
              <w:t xml:space="preserve">Part V Section 5.6.2</w:t>
            </w:r>
          </w:p>
        </w:tc>
      </w:tr>
      <w:tr>
        <w:tc>
          <w:tcPr/>
          <w:p>
            <w:pPr>
              <w:pStyle w:val="Compact"/>
            </w:pPr>
            <w:r>
              <w:t xml:space="preserve">AES-256-GCM</w:t>
            </w:r>
          </w:p>
        </w:tc>
        <w:tc>
          <w:tcPr/>
          <w:p>
            <w:pPr>
              <w:pStyle w:val="Compact"/>
            </w:pPr>
            <w:r>
              <w:t xml:space="preserve">Advanced Encryption Standard, 256-bit key, Galois/Counter Mode</w:t>
            </w:r>
          </w:p>
        </w:tc>
        <w:tc>
          <w:tcPr/>
          <w:p>
            <w:pPr>
              <w:pStyle w:val="Compact"/>
            </w:pPr>
            <w:r>
              <w:t xml:space="preserve">Part III Section 3.5</w:t>
            </w:r>
          </w:p>
        </w:tc>
      </w:tr>
      <w:tr>
        <w:tc>
          <w:tcPr/>
          <w:p>
            <w:pPr>
              <w:pStyle w:val="Compact"/>
            </w:pPr>
            <w:r>
              <w:t xml:space="preserve">AG</w:t>
            </w:r>
          </w:p>
        </w:tc>
        <w:tc>
          <w:tcPr/>
          <w:p>
            <w:pPr>
              <w:pStyle w:val="Compact"/>
            </w:pPr>
            <w:r>
              <w:t xml:space="preserve">AI-Generated (Origin Code)</w:t>
            </w:r>
          </w:p>
        </w:tc>
        <w:tc>
          <w:tcPr/>
          <w:p>
            <w:pPr>
              <w:pStyle w:val="Compact"/>
            </w:pPr>
            <w:r>
              <w:t xml:space="preserve">Part V Section 5.6.3</w:t>
            </w:r>
          </w:p>
        </w:tc>
      </w:tr>
      <w:tr>
        <w:tc>
          <w:tcPr/>
          <w:p>
            <w:pPr>
              <w:pStyle w:val="Compact"/>
            </w:pPr>
            <w:r>
              <w:t xml:space="preserve">AICOP</w:t>
            </w:r>
          </w:p>
        </w:tc>
        <w:tc>
          <w:tcPr/>
          <w:p>
            <w:pPr>
              <w:pStyle w:val="Compact"/>
            </w:pPr>
            <w:r>
              <w:t xml:space="preserve">Australian Information Commissioner Online Privacy (reference)</w:t>
            </w:r>
          </w:p>
        </w:tc>
        <w:tc>
          <w:tcPr/>
          <w:p>
            <w:pPr>
              <w:pStyle w:val="Compact"/>
            </w:pPr>
            <w:r>
              <w:t xml:space="preserve">Part IX</w:t>
            </w:r>
          </w:p>
        </w:tc>
      </w:tr>
      <w:tr>
        <w:tc>
          <w:tcPr/>
          <w:p>
            <w:pPr>
              <w:pStyle w:val="Compact"/>
            </w:pPr>
            <w:r>
              <w:t xml:space="preserve">AMO</w:t>
            </w:r>
          </w:p>
        </w:tc>
        <w:tc>
          <w:tcPr/>
          <w:p>
            <w:pPr>
              <w:pStyle w:val="Compact"/>
            </w:pPr>
            <w:r>
              <w:t xml:space="preserve">Mozilla Add-ons distribution channel</w:t>
            </w:r>
          </w:p>
        </w:tc>
        <w:tc>
          <w:tcPr/>
          <w:p>
            <w:pPr>
              <w:pStyle w:val="Compact"/>
            </w:pPr>
            <w:r>
              <w:t xml:space="preserve">Part VIII Section 8.2.1</w:t>
            </w:r>
          </w:p>
        </w:tc>
      </w:tr>
      <w:tr>
        <w:tc>
          <w:tcPr/>
          <w:p>
            <w:pPr>
              <w:pStyle w:val="Compact"/>
            </w:pPr>
            <w:r>
              <w:t xml:space="preserve">ARIA</w:t>
            </w:r>
          </w:p>
        </w:tc>
        <w:tc>
          <w:tcPr/>
          <w:p>
            <w:pPr>
              <w:pStyle w:val="Compact"/>
            </w:pPr>
            <w:r>
              <w:t xml:space="preserve">Accessible Rich Internet Applications</w:t>
            </w:r>
          </w:p>
        </w:tc>
        <w:tc>
          <w:tcPr/>
          <w:p>
            <w:pPr>
              <w:pStyle w:val="Compact"/>
            </w:pPr>
            <w:r>
              <w:t xml:space="preserve">Part VI Section 6.7.3</w:t>
            </w:r>
          </w:p>
        </w:tc>
      </w:tr>
      <w:tr>
        <w:tc>
          <w:tcPr/>
          <w:p>
            <w:pPr>
              <w:pStyle w:val="Compact"/>
            </w:pPr>
            <w:r>
              <w:t xml:space="preserve">BIPA</w:t>
            </w:r>
          </w:p>
        </w:tc>
        <w:tc>
          <w:tcPr/>
          <w:p>
            <w:pPr>
              <w:pStyle w:val="Compact"/>
            </w:pPr>
            <w:r>
              <w:t xml:space="preserve">Biometric Information Privacy Act (Illinois)</w:t>
            </w:r>
          </w:p>
        </w:tc>
        <w:tc>
          <w:tcPr/>
          <w:p>
            <w:pPr>
              <w:pStyle w:val="Compact"/>
            </w:pPr>
            <w:r>
              <w:t xml:space="preserve">Part IX Section 9.2.4</w:t>
            </w:r>
          </w:p>
        </w:tc>
      </w:tr>
      <w:tr>
        <w:tc>
          <w:tcPr/>
          <w:p>
            <w:pPr>
              <w:pStyle w:val="Compact"/>
            </w:pPr>
            <w:r>
              <w:t xml:space="preserve">C2PA</w:t>
            </w:r>
          </w:p>
        </w:tc>
        <w:tc>
          <w:tcPr/>
          <w:p>
            <w:pPr>
              <w:pStyle w:val="Compact"/>
            </w:pPr>
            <w:r>
              <w:t xml:space="preserve">Coalition for Content Provenance and Authenticity</w:t>
            </w:r>
          </w:p>
        </w:tc>
        <w:tc>
          <w:tcPr/>
          <w:p>
            <w:pPr>
              <w:pStyle w:val="Compact"/>
            </w:pPr>
            <w:r>
              <w:t xml:space="preserve">Part I Section 1.3</w:t>
            </w:r>
          </w:p>
        </w:tc>
      </w:tr>
      <w:tr>
        <w:tc>
          <w:tcPr/>
          <w:p>
            <w:pPr>
              <w:pStyle w:val="Compact"/>
            </w:pPr>
            <w:r>
              <w:t xml:space="preserve">CC BY 4.0</w:t>
            </w:r>
          </w:p>
        </w:tc>
        <w:tc>
          <w:tcPr/>
          <w:p>
            <w:pPr>
              <w:pStyle w:val="Compact"/>
            </w:pPr>
            <w:r>
              <w:t xml:space="preserve">Creative Commons Attribution 4.0 International Public License</w:t>
            </w:r>
          </w:p>
        </w:tc>
        <w:tc>
          <w:tcPr/>
          <w:p>
            <w:pPr>
              <w:pStyle w:val="Compact"/>
            </w:pPr>
            <w:r>
              <w:t xml:space="preserve">Glossary</w:t>
            </w:r>
          </w:p>
        </w:tc>
      </w:tr>
      <w:tr>
        <w:tc>
          <w:tcPr/>
          <w:p>
            <w:pPr>
              <w:pStyle w:val="Compact"/>
            </w:pPr>
            <w:r>
              <w:t xml:space="preserve">CCSF 2.0</w:t>
            </w:r>
          </w:p>
        </w:tc>
        <w:tc>
          <w:tcPr/>
          <w:p>
            <w:pPr>
              <w:pStyle w:val="Compact"/>
            </w:pPr>
            <w:r>
              <w:t xml:space="preserve">NIST Cybersecurity Framework Version 2.0</w:t>
            </w:r>
          </w:p>
        </w:tc>
        <w:tc>
          <w:tcPr/>
          <w:p>
            <w:pPr>
              <w:pStyle w:val="Compact"/>
            </w:pPr>
            <w:r>
              <w:t xml:space="preserve">Appendix E</w:t>
            </w:r>
          </w:p>
        </w:tc>
      </w:tr>
      <w:tr>
        <w:tc>
          <w:tcPr/>
          <w:p>
            <w:pPr>
              <w:pStyle w:val="Compact"/>
            </w:pPr>
            <w:r>
              <w:t xml:space="preserve">CETS</w:t>
            </w:r>
          </w:p>
        </w:tc>
        <w:tc>
          <w:tcPr/>
          <w:p>
            <w:pPr>
              <w:pStyle w:val="Compact"/>
            </w:pPr>
            <w:r>
              <w:t xml:space="preserve">Council of Europe Treaty Series</w:t>
            </w:r>
          </w:p>
        </w:tc>
        <w:tc>
          <w:tcPr/>
          <w:p>
            <w:pPr>
              <w:pStyle w:val="Compact"/>
            </w:pPr>
            <w:r>
              <w:t xml:space="preserve">Part IX Section 9.1.7</w:t>
            </w:r>
          </w:p>
        </w:tc>
      </w:tr>
      <w:tr>
        <w:tc>
          <w:tcPr/>
          <w:p>
            <w:pPr>
              <w:pStyle w:val="Compact"/>
            </w:pPr>
            <w:r>
              <w:t xml:space="preserve">CFRG</w:t>
            </w:r>
          </w:p>
        </w:tc>
        <w:tc>
          <w:tcPr/>
          <w:p>
            <w:pPr>
              <w:pStyle w:val="Compact"/>
            </w:pPr>
            <w:r>
              <w:t xml:space="preserve">Crypto Forum Research Group (IETF)</w:t>
            </w:r>
          </w:p>
        </w:tc>
        <w:tc>
          <w:tcPr/>
          <w:p>
            <w:pPr>
              <w:pStyle w:val="Compact"/>
            </w:pPr>
            <w:r>
              <w:t xml:space="preserve">Part IX Section 9.7</w:t>
            </w:r>
          </w:p>
        </w:tc>
      </w:tr>
      <w:tr>
        <w:tc>
          <w:tcPr/>
          <w:p>
            <w:pPr>
              <w:pStyle w:val="Compact"/>
            </w:pPr>
            <w:r>
              <w:t xml:space="preserve">CNA</w:t>
            </w:r>
          </w:p>
        </w:tc>
        <w:tc>
          <w:tcPr/>
          <w:p>
            <w:pPr>
              <w:pStyle w:val="Compact"/>
            </w:pPr>
            <w:r>
              <w:t xml:space="preserve">Canonical Normalization Algorithm</w:t>
            </w:r>
          </w:p>
        </w:tc>
        <w:tc>
          <w:tcPr/>
          <w:p>
            <w:pPr>
              <w:pStyle w:val="Compact"/>
            </w:pPr>
            <w:r>
              <w:t xml:space="preserve">Part V</w:t>
            </w:r>
          </w:p>
        </w:tc>
      </w:tr>
      <w:tr>
        <w:tc>
          <w:tcPr/>
          <w:p>
            <w:pPr>
              <w:pStyle w:val="Compact"/>
            </w:pPr>
            <w:r>
              <w:t xml:space="preserve">CRA</w:t>
            </w:r>
          </w:p>
        </w:tc>
        <w:tc>
          <w:tcPr/>
          <w:p>
            <w:pPr>
              <w:pStyle w:val="Compact"/>
            </w:pPr>
            <w:r>
              <w:t xml:space="preserve">Cyber Resilience Act</w:t>
            </w:r>
          </w:p>
        </w:tc>
        <w:tc>
          <w:tcPr/>
          <w:p>
            <w:pPr>
              <w:pStyle w:val="Compact"/>
            </w:pPr>
            <w:r>
              <w:t xml:space="preserve">Part IX Section 9.1.6</w:t>
            </w:r>
          </w:p>
        </w:tc>
      </w:tr>
      <w:tr>
        <w:tc>
          <w:tcPr/>
          <w:p>
            <w:pPr>
              <w:pStyle w:val="Compact"/>
            </w:pPr>
            <w:r>
              <w:t xml:space="preserve">CTID</w:t>
            </w:r>
          </w:p>
        </w:tc>
        <w:tc>
          <w:tcPr/>
          <w:p>
            <w:pPr>
              <w:pStyle w:val="Compact"/>
            </w:pPr>
            <w:r>
              <w:t xml:space="preserve">Cryptographic Trust Identity</w:t>
            </w:r>
          </w:p>
        </w:tc>
        <w:tc>
          <w:tcPr/>
          <w:p>
            <w:pPr>
              <w:pStyle w:val="Compact"/>
            </w:pPr>
            <w:r>
              <w:t xml:space="preserve">Part IV</w:t>
            </w:r>
          </w:p>
        </w:tc>
      </w:tr>
      <w:tr>
        <w:tc>
          <w:tcPr/>
          <w:p>
            <w:pPr>
              <w:pStyle w:val="Compact"/>
            </w:pPr>
            <w:r>
              <w:t xml:space="preserve">CUBI</w:t>
            </w:r>
          </w:p>
        </w:tc>
        <w:tc>
          <w:tcPr/>
          <w:p>
            <w:pPr>
              <w:pStyle w:val="Compact"/>
            </w:pPr>
            <w:r>
              <w:t xml:space="preserve">Capture or Use of Biometric Identifier Act (Texas)</w:t>
            </w:r>
          </w:p>
        </w:tc>
        <w:tc>
          <w:tcPr/>
          <w:p>
            <w:pPr>
              <w:pStyle w:val="Compact"/>
            </w:pPr>
            <w:r>
              <w:t xml:space="preserve">Part IX Section 9.2.4</w:t>
            </w:r>
          </w:p>
        </w:tc>
      </w:tr>
      <w:tr>
        <w:tc>
          <w:tcPr/>
          <w:p>
            <w:pPr>
              <w:pStyle w:val="Compact"/>
            </w:pPr>
            <w:r>
              <w:t xml:space="preserve">DAG</w:t>
            </w:r>
          </w:p>
        </w:tc>
        <w:tc>
          <w:tcPr/>
          <w:p>
            <w:pPr>
              <w:pStyle w:val="Compact"/>
            </w:pPr>
            <w:r>
              <w:t xml:space="preserve">Directed Acyclic Graph</w:t>
            </w:r>
          </w:p>
        </w:tc>
        <w:tc>
          <w:tcPr/>
          <w:p>
            <w:pPr>
              <w:pStyle w:val="Compact"/>
            </w:pPr>
            <w:r>
              <w:t xml:space="preserve">Part VII</w:t>
            </w:r>
          </w:p>
        </w:tc>
      </w:tr>
      <w:tr>
        <w:tc>
          <w:tcPr/>
          <w:p>
            <w:pPr>
              <w:pStyle w:val="Compact"/>
            </w:pPr>
            <w:r>
              <w:t xml:space="preserve">DEPA</w:t>
            </w:r>
          </w:p>
        </w:tc>
        <w:tc>
          <w:tcPr/>
          <w:p>
            <w:pPr>
              <w:pStyle w:val="Compact"/>
            </w:pPr>
            <w:r>
              <w:t xml:space="preserve">Data Empowerment and Protection Architecture</w:t>
            </w:r>
          </w:p>
        </w:tc>
        <w:tc>
          <w:tcPr/>
          <w:p>
            <w:pPr>
              <w:pStyle w:val="Compact"/>
            </w:pPr>
            <w:r>
              <w:t xml:space="preserve">Part IX Section 9.5</w:t>
            </w:r>
          </w:p>
        </w:tc>
      </w:tr>
      <w:tr>
        <w:tc>
          <w:tcPr/>
          <w:p>
            <w:pPr>
              <w:pStyle w:val="Compact"/>
            </w:pPr>
            <w:r>
              <w:t xml:space="preserve">DPDPA</w:t>
            </w:r>
          </w:p>
        </w:tc>
        <w:tc>
          <w:tcPr/>
          <w:p>
            <w:pPr>
              <w:pStyle w:val="Compact"/>
            </w:pPr>
            <w:r>
              <w:t xml:space="preserve">Digital Personal Data Protection Act 2023 (India)</w:t>
            </w:r>
          </w:p>
        </w:tc>
        <w:tc>
          <w:tcPr/>
          <w:p>
            <w:pPr>
              <w:pStyle w:val="Compact"/>
            </w:pPr>
            <w:r>
              <w:t xml:space="preserve">Part IX Section 9.5</w:t>
            </w:r>
          </w:p>
        </w:tc>
      </w:tr>
      <w:tr>
        <w:tc>
          <w:tcPr/>
          <w:p>
            <w:pPr>
              <w:pStyle w:val="Compact"/>
            </w:pPr>
            <w:r>
              <w:t xml:space="preserve">DPIA</w:t>
            </w:r>
          </w:p>
        </w:tc>
        <w:tc>
          <w:tcPr/>
          <w:p>
            <w:pPr>
              <w:pStyle w:val="Compact"/>
            </w:pPr>
            <w:r>
              <w:t xml:space="preserve">Data Protection Impact Assessment</w:t>
            </w:r>
          </w:p>
        </w:tc>
        <w:tc>
          <w:tcPr/>
          <w:p>
            <w:pPr>
              <w:pStyle w:val="Compact"/>
            </w:pPr>
            <w:r>
              <w:t xml:space="preserve">Part IX Section 9.1.2</w:t>
            </w:r>
          </w:p>
        </w:tc>
      </w:tr>
      <w:tr>
        <w:tc>
          <w:tcPr/>
          <w:p>
            <w:pPr>
              <w:pStyle w:val="Compact"/>
            </w:pPr>
            <w:r>
              <w:t xml:space="preserve">DSA</w:t>
            </w:r>
          </w:p>
        </w:tc>
        <w:tc>
          <w:tcPr/>
          <w:p>
            <w:pPr>
              <w:pStyle w:val="Compact"/>
            </w:pPr>
            <w:r>
              <w:t xml:space="preserve">Digital Services Act</w:t>
            </w:r>
          </w:p>
        </w:tc>
        <w:tc>
          <w:tcPr/>
          <w:p>
            <w:pPr>
              <w:pStyle w:val="Compact"/>
            </w:pPr>
            <w:r>
              <w:t xml:space="preserve">Part IX Section 9.1.3</w:t>
            </w:r>
          </w:p>
        </w:tc>
      </w:tr>
      <w:tr>
        <w:tc>
          <w:tcPr/>
          <w:p>
            <w:pPr>
              <w:pStyle w:val="Compact"/>
            </w:pPr>
            <w:r>
              <w:t xml:space="preserve">ECDSA</w:t>
            </w:r>
          </w:p>
        </w:tc>
        <w:tc>
          <w:tcPr/>
          <w:p>
            <w:pPr>
              <w:pStyle w:val="Compact"/>
            </w:pPr>
            <w:r>
              <w:t xml:space="preserve">Elliptic Curve Digital Signature Algorithm</w:t>
            </w:r>
          </w:p>
        </w:tc>
        <w:tc>
          <w:tcPr/>
          <w:p>
            <w:pPr>
              <w:pStyle w:val="Compact"/>
            </w:pPr>
            <w:r>
              <w:t xml:space="preserve">Part III</w:t>
            </w:r>
          </w:p>
        </w:tc>
      </w:tr>
      <w:tr>
        <w:tc>
          <w:tcPr/>
          <w:p>
            <w:pPr>
              <w:pStyle w:val="Compact"/>
            </w:pPr>
            <w:r>
              <w:t xml:space="preserve">EAR</w:t>
            </w:r>
          </w:p>
        </w:tc>
        <w:tc>
          <w:tcPr/>
          <w:p>
            <w:pPr>
              <w:pStyle w:val="Compact"/>
            </w:pPr>
            <w:r>
              <w:t xml:space="preserve">United States Export Administration Regulations</w:t>
            </w:r>
          </w:p>
        </w:tc>
        <w:tc>
          <w:tcPr/>
          <w:p>
            <w:pPr>
              <w:pStyle w:val="Compact"/>
            </w:pPr>
            <w:r>
              <w:t xml:space="preserve">Part IX Section 9.8</w:t>
            </w:r>
          </w:p>
        </w:tc>
      </w:tr>
      <w:tr>
        <w:tc>
          <w:tcPr/>
          <w:p>
            <w:pPr>
              <w:pStyle w:val="Compact"/>
            </w:pPr>
            <w:r>
              <w:t xml:space="preserve">Ed25519</w:t>
            </w:r>
          </w:p>
        </w:tc>
        <w:tc>
          <w:tcPr/>
          <w:p>
            <w:pPr>
              <w:pStyle w:val="Compact"/>
            </w:pPr>
            <w:r>
              <w:t xml:space="preserve">Edwards-curve Digital Signature Algorithm using Curve25519</w:t>
            </w:r>
          </w:p>
        </w:tc>
        <w:tc>
          <w:tcPr/>
          <w:p>
            <w:pPr>
              <w:pStyle w:val="Compact"/>
            </w:pPr>
            <w:r>
              <w:t xml:space="preserve">Part IV</w:t>
            </w:r>
          </w:p>
        </w:tc>
      </w:tr>
      <w:tr>
        <w:tc>
          <w:tcPr/>
          <w:p>
            <w:pPr>
              <w:pStyle w:val="Compact"/>
            </w:pPr>
            <w:r>
              <w:t xml:space="preserve">EDPB</w:t>
            </w:r>
          </w:p>
        </w:tc>
        <w:tc>
          <w:tcPr/>
          <w:p>
            <w:pPr>
              <w:pStyle w:val="Compact"/>
            </w:pPr>
            <w:r>
              <w:t xml:space="preserve">European Data Protection Board</w:t>
            </w:r>
          </w:p>
        </w:tc>
        <w:tc>
          <w:tcPr/>
          <w:p>
            <w:pPr>
              <w:pStyle w:val="Compact"/>
            </w:pPr>
            <w:r>
              <w:t xml:space="preserve">Part IX Section 9.1.2</w:t>
            </w:r>
          </w:p>
        </w:tc>
      </w:tr>
      <w:tr>
        <w:tc>
          <w:tcPr/>
          <w:p>
            <w:pPr>
              <w:pStyle w:val="Compact"/>
            </w:pPr>
            <w:r>
              <w:t xml:space="preserve">EIN</w:t>
            </w:r>
          </w:p>
        </w:tc>
        <w:tc>
          <w:tcPr/>
          <w:p>
            <w:pPr>
              <w:pStyle w:val="Compact"/>
            </w:pPr>
            <w:r>
              <w:t xml:space="preserve">Employer Identification Number</w:t>
            </w:r>
          </w:p>
        </w:tc>
        <w:tc>
          <w:tcPr/>
          <w:p>
            <w:pPr>
              <w:pStyle w:val="Compact"/>
            </w:pPr>
            <w:r>
              <w:t xml:space="preserve">Part X Section 10.1</w:t>
            </w:r>
          </w:p>
        </w:tc>
      </w:tr>
      <w:tr>
        <w:tc>
          <w:tcPr/>
          <w:p>
            <w:pPr>
              <w:pStyle w:val="Compact"/>
            </w:pPr>
            <w:r>
              <w:t xml:space="preserve">eIDAS</w:t>
            </w:r>
          </w:p>
        </w:tc>
        <w:tc>
          <w:tcPr/>
          <w:p>
            <w:pPr>
              <w:pStyle w:val="Compact"/>
            </w:pPr>
            <w:r>
              <w:t xml:space="preserve">electronic IDentification, Authentication and trust Services</w:t>
            </w:r>
          </w:p>
        </w:tc>
        <w:tc>
          <w:tcPr/>
          <w:p>
            <w:pPr>
              <w:pStyle w:val="Compact"/>
            </w:pPr>
            <w:r>
              <w:t xml:space="preserve">Part IX Section 9.1.4</w:t>
            </w:r>
          </w:p>
        </w:tc>
      </w:tr>
      <w:tr>
        <w:tc>
          <w:tcPr/>
          <w:p>
            <w:pPr>
              <w:pStyle w:val="Compact"/>
            </w:pPr>
            <w:r>
              <w:t xml:space="preserve">ENISA</w:t>
            </w:r>
          </w:p>
        </w:tc>
        <w:tc>
          <w:tcPr/>
          <w:p>
            <w:pPr>
              <w:pStyle w:val="Compact"/>
            </w:pPr>
            <w:r>
              <w:t xml:space="preserve">European Union Agency for Cybersecurity</w:t>
            </w:r>
          </w:p>
        </w:tc>
        <w:tc>
          <w:tcPr/>
          <w:p>
            <w:pPr>
              <w:pStyle w:val="Compact"/>
            </w:pPr>
            <w:r>
              <w:t xml:space="preserve">Part III Section 3.1</w:t>
            </w:r>
          </w:p>
        </w:tc>
      </w:tr>
      <w:tr>
        <w:tc>
          <w:tcPr/>
          <w:p>
            <w:pPr>
              <w:pStyle w:val="Compact"/>
            </w:pPr>
            <w:r>
              <w:t xml:space="preserve">ETSI</w:t>
            </w:r>
          </w:p>
        </w:tc>
        <w:tc>
          <w:tcPr/>
          <w:p>
            <w:pPr>
              <w:pStyle w:val="Compact"/>
            </w:pPr>
            <w:r>
              <w:t xml:space="preserve">European Telecommunications Standards Institute</w:t>
            </w:r>
          </w:p>
        </w:tc>
        <w:tc>
          <w:tcPr/>
          <w:p>
            <w:pPr>
              <w:pStyle w:val="Compact"/>
            </w:pPr>
            <w:r>
              <w:t xml:space="preserve">Part IX Section 9.7</w:t>
            </w:r>
          </w:p>
        </w:tc>
      </w:tr>
      <w:tr>
        <w:tc>
          <w:tcPr/>
          <w:p>
            <w:pPr>
              <w:pStyle w:val="Compact"/>
            </w:pPr>
            <w:r>
              <w:t xml:space="preserve">EUDI</w:t>
            </w:r>
          </w:p>
        </w:tc>
        <w:tc>
          <w:tcPr/>
          <w:p>
            <w:pPr>
              <w:pStyle w:val="Compact"/>
            </w:pPr>
            <w:r>
              <w:t xml:space="preserve">European Digital Identity</w:t>
            </w:r>
          </w:p>
        </w:tc>
        <w:tc>
          <w:tcPr/>
          <w:p>
            <w:pPr>
              <w:pStyle w:val="Compact"/>
            </w:pPr>
            <w:r>
              <w:t xml:space="preserve">Part IV Section 4.5.3</w:t>
            </w:r>
          </w:p>
        </w:tc>
      </w:tr>
      <w:tr>
        <w:tc>
          <w:tcPr/>
          <w:p>
            <w:pPr>
              <w:pStyle w:val="Compact"/>
            </w:pPr>
            <w:r>
              <w:t xml:space="preserve">FIDO2</w:t>
            </w:r>
          </w:p>
        </w:tc>
        <w:tc>
          <w:tcPr/>
          <w:p>
            <w:pPr>
              <w:pStyle w:val="Compact"/>
            </w:pPr>
            <w:r>
              <w:t xml:space="preserve">Fast IDentity Online 2</w:t>
            </w:r>
          </w:p>
        </w:tc>
        <w:tc>
          <w:tcPr/>
          <w:p>
            <w:pPr>
              <w:pStyle w:val="Compact"/>
            </w:pPr>
            <w:r>
              <w:t xml:space="preserve">Part IV Section 4.4.1</w:t>
            </w:r>
          </w:p>
        </w:tc>
      </w:tr>
      <w:tr>
        <w:tc>
          <w:tcPr/>
          <w:p>
            <w:pPr>
              <w:pStyle w:val="Compact"/>
            </w:pPr>
            <w:r>
              <w:t xml:space="preserve">FIPS</w:t>
            </w:r>
          </w:p>
        </w:tc>
        <w:tc>
          <w:tcPr/>
          <w:p>
            <w:pPr>
              <w:pStyle w:val="Compact"/>
            </w:pPr>
            <w:r>
              <w:t xml:space="preserve">Federal Information Processing Standards</w:t>
            </w:r>
          </w:p>
        </w:tc>
        <w:tc>
          <w:tcPr/>
          <w:p>
            <w:pPr>
              <w:pStyle w:val="Compact"/>
            </w:pPr>
            <w:r>
              <w:t xml:space="preserve">Part III</w:t>
            </w:r>
          </w:p>
        </w:tc>
      </w:tr>
      <w:tr>
        <w:tc>
          <w:tcPr/>
          <w:p>
            <w:pPr>
              <w:pStyle w:val="Compact"/>
            </w:pPr>
            <w:r>
              <w:t xml:space="preserve">FRIA</w:t>
            </w:r>
          </w:p>
        </w:tc>
        <w:tc>
          <w:tcPr/>
          <w:p>
            <w:pPr>
              <w:pStyle w:val="Compact"/>
            </w:pPr>
            <w:r>
              <w:t xml:space="preserve">Fundamental Rights Impact Assessment</w:t>
            </w:r>
          </w:p>
        </w:tc>
        <w:tc>
          <w:tcPr/>
          <w:p>
            <w:pPr>
              <w:pStyle w:val="Compact"/>
            </w:pPr>
            <w:r>
              <w:t xml:space="preserve">Part IX</w:t>
            </w:r>
          </w:p>
        </w:tc>
      </w:tr>
      <w:tr>
        <w:tc>
          <w:tcPr/>
          <w:p>
            <w:pPr>
              <w:pStyle w:val="Compact"/>
            </w:pPr>
            <w:r>
              <w:t xml:space="preserve">FTC</w:t>
            </w:r>
          </w:p>
        </w:tc>
        <w:tc>
          <w:tcPr/>
          <w:p>
            <w:pPr>
              <w:pStyle w:val="Compact"/>
            </w:pPr>
            <w:r>
              <w:t xml:space="preserve">Federal Trade Commission</w:t>
            </w:r>
          </w:p>
        </w:tc>
        <w:tc>
          <w:tcPr/>
          <w:p>
            <w:pPr>
              <w:pStyle w:val="Compact"/>
            </w:pPr>
            <w:r>
              <w:t xml:space="preserve">Part IX Section 9.2.1</w:t>
            </w:r>
          </w:p>
        </w:tc>
      </w:tr>
      <w:tr>
        <w:tc>
          <w:tcPr/>
          <w:p>
            <w:pPr>
              <w:pStyle w:val="Compact"/>
            </w:pPr>
            <w:r>
              <w:t xml:space="preserve">GDPR</w:t>
            </w:r>
          </w:p>
        </w:tc>
        <w:tc>
          <w:tcPr/>
          <w:p>
            <w:pPr>
              <w:pStyle w:val="Compact"/>
            </w:pPr>
            <w:r>
              <w:t xml:space="preserve">General Data Protection Regulation</w:t>
            </w:r>
          </w:p>
        </w:tc>
        <w:tc>
          <w:tcPr/>
          <w:p>
            <w:pPr>
              <w:pStyle w:val="Compact"/>
            </w:pPr>
            <w:r>
              <w:t xml:space="preserve">Part IX Section 9.1.2</w:t>
            </w:r>
          </w:p>
        </w:tc>
      </w:tr>
      <w:tr>
        <w:tc>
          <w:tcPr/>
          <w:p>
            <w:pPr>
              <w:pStyle w:val="Compact"/>
            </w:pPr>
            <w:r>
              <w:t xml:space="preserve">GPAI</w:t>
            </w:r>
          </w:p>
        </w:tc>
        <w:tc>
          <w:tcPr/>
          <w:p>
            <w:pPr>
              <w:pStyle w:val="Compact"/>
            </w:pPr>
            <w:r>
              <w:t xml:space="preserve">General-Purpose AI</w:t>
            </w:r>
          </w:p>
        </w:tc>
        <w:tc>
          <w:tcPr/>
          <w:p>
            <w:pPr>
              <w:pStyle w:val="Compact"/>
            </w:pPr>
            <w:r>
              <w:t xml:space="preserve">Part IX Section 9.1.1</w:t>
            </w:r>
          </w:p>
        </w:tc>
      </w:tr>
      <w:tr>
        <w:tc>
          <w:tcPr/>
          <w:p>
            <w:pPr>
              <w:pStyle w:val="Compact"/>
            </w:pPr>
            <w:r>
              <w:t xml:space="preserve">HKDF</w:t>
            </w:r>
          </w:p>
        </w:tc>
        <w:tc>
          <w:tcPr/>
          <w:p>
            <w:pPr>
              <w:pStyle w:val="Compact"/>
            </w:pPr>
            <w:r>
              <w:t xml:space="preserve">HMAC-based Extract-and-Expand Key Derivation Function</w:t>
            </w:r>
          </w:p>
        </w:tc>
        <w:tc>
          <w:tcPr/>
          <w:p>
            <w:pPr>
              <w:pStyle w:val="Compact"/>
            </w:pPr>
            <w:r>
              <w:t xml:space="preserve">Part III Section 3.5</w:t>
            </w:r>
          </w:p>
        </w:tc>
      </w:tr>
      <w:tr>
        <w:tc>
          <w:tcPr/>
          <w:p>
            <w:pPr>
              <w:pStyle w:val="Compact"/>
            </w:pPr>
            <w:r>
              <w:t xml:space="preserve">HMAC</w:t>
            </w:r>
          </w:p>
        </w:tc>
        <w:tc>
          <w:tcPr/>
          <w:p>
            <w:pPr>
              <w:pStyle w:val="Compact"/>
            </w:pPr>
            <w:r>
              <w:t xml:space="preserve">Hash-based Message Authentication Code</w:t>
            </w:r>
          </w:p>
        </w:tc>
        <w:tc>
          <w:tcPr/>
          <w:p>
            <w:pPr>
              <w:pStyle w:val="Compact"/>
            </w:pPr>
            <w:r>
              <w:t xml:space="preserve">Part III</w:t>
            </w:r>
          </w:p>
        </w:tc>
      </w:tr>
      <w:tr>
        <w:tc>
          <w:tcPr/>
          <w:p>
            <w:pPr>
              <w:pStyle w:val="Compact"/>
            </w:pPr>
            <w:r>
              <w:t xml:space="preserve">HTML</w:t>
            </w:r>
          </w:p>
        </w:tc>
        <w:tc>
          <w:tcPr/>
          <w:p>
            <w:pPr>
              <w:pStyle w:val="Compact"/>
            </w:pPr>
            <w:r>
              <w:t xml:space="preserve">HyperText Markup Language</w:t>
            </w:r>
          </w:p>
        </w:tc>
        <w:tc>
          <w:tcPr/>
          <w:p>
            <w:pPr>
              <w:pStyle w:val="Compact"/>
            </w:pPr>
            <w:r>
              <w:t xml:space="preserve">Part V</w:t>
            </w:r>
          </w:p>
        </w:tc>
      </w:tr>
      <w:tr>
        <w:tc>
          <w:tcPr/>
          <w:p>
            <w:pPr>
              <w:pStyle w:val="Compact"/>
            </w:pPr>
            <w:r>
              <w:t xml:space="preserve">ICO</w:t>
            </w:r>
          </w:p>
        </w:tc>
        <w:tc>
          <w:tcPr/>
          <w:p>
            <w:pPr>
              <w:pStyle w:val="Compact"/>
            </w:pPr>
            <w:r>
              <w:t xml:space="preserve">Information Commissioner’s Office (UK)</w:t>
            </w:r>
          </w:p>
        </w:tc>
        <w:tc>
          <w:tcPr/>
          <w:p>
            <w:pPr>
              <w:pStyle w:val="Compact"/>
            </w:pPr>
            <w:r>
              <w:t xml:space="preserve">Part IX</w:t>
            </w:r>
          </w:p>
        </w:tc>
      </w:tr>
      <w:tr>
        <w:tc>
          <w:tcPr/>
          <w:p>
            <w:pPr>
              <w:pStyle w:val="Compact"/>
            </w:pPr>
            <w:r>
              <w:t xml:space="preserve">IETF</w:t>
            </w:r>
          </w:p>
        </w:tc>
        <w:tc>
          <w:tcPr/>
          <w:p>
            <w:pPr>
              <w:pStyle w:val="Compact"/>
            </w:pPr>
            <w:r>
              <w:t xml:space="preserve">Internet Engineering Task Force</w:t>
            </w:r>
          </w:p>
        </w:tc>
        <w:tc>
          <w:tcPr/>
          <w:p>
            <w:pPr>
              <w:pStyle w:val="Compact"/>
            </w:pPr>
            <w:r>
              <w:t xml:space="preserve">Part IX Section 9.7</w:t>
            </w:r>
          </w:p>
        </w:tc>
      </w:tr>
      <w:tr>
        <w:tc>
          <w:tcPr/>
          <w:p>
            <w:pPr>
              <w:pStyle w:val="Compact"/>
            </w:pPr>
            <w:r>
              <w:t xml:space="preserve">IPP</w:t>
            </w:r>
          </w:p>
        </w:tc>
        <w:tc>
          <w:tcPr/>
          <w:p>
            <w:pPr>
              <w:pStyle w:val="Compact"/>
            </w:pPr>
            <w:r>
              <w:t xml:space="preserve">Information Privacy Principle (NZ)</w:t>
            </w:r>
          </w:p>
        </w:tc>
        <w:tc>
          <w:tcPr/>
          <w:p>
            <w:pPr>
              <w:pStyle w:val="Compact"/>
            </w:pPr>
            <w:r>
              <w:t xml:space="preserve">Part IX Section 9.4</w:t>
            </w:r>
          </w:p>
        </w:tc>
      </w:tr>
      <w:tr>
        <w:tc>
          <w:tcPr/>
          <w:p>
            <w:pPr>
              <w:pStyle w:val="Compact"/>
            </w:pPr>
            <w:r>
              <w:t xml:space="preserve">IPTC</w:t>
            </w:r>
          </w:p>
        </w:tc>
        <w:tc>
          <w:tcPr/>
          <w:p>
            <w:pPr>
              <w:pStyle w:val="Compact"/>
            </w:pPr>
            <w:r>
              <w:t xml:space="preserve">International Press Telecommunications Council</w:t>
            </w:r>
          </w:p>
        </w:tc>
        <w:tc>
          <w:tcPr/>
          <w:p>
            <w:pPr>
              <w:pStyle w:val="Compact"/>
            </w:pPr>
            <w:r>
              <w:t xml:space="preserve">Part IX Section 9.7</w:t>
            </w:r>
          </w:p>
        </w:tc>
      </w:tr>
      <w:tr>
        <w:tc>
          <w:tcPr/>
          <w:p>
            <w:pPr>
              <w:pStyle w:val="Compact"/>
            </w:pPr>
            <w:r>
              <w:t xml:space="preserve">ISO</w:t>
            </w:r>
          </w:p>
        </w:tc>
        <w:tc>
          <w:tcPr/>
          <w:p>
            <w:pPr>
              <w:pStyle w:val="Compact"/>
            </w:pPr>
            <w:r>
              <w:t xml:space="preserve">International Organization for Standardization</w:t>
            </w:r>
          </w:p>
        </w:tc>
        <w:tc>
          <w:tcPr/>
          <w:p>
            <w:pPr>
              <w:pStyle w:val="Compact"/>
            </w:pPr>
            <w:r>
              <w:t xml:space="preserve">Part IX Section 9.7</w:t>
            </w:r>
          </w:p>
        </w:tc>
      </w:tr>
      <w:tr>
        <w:tc>
          <w:tcPr/>
          <w:p>
            <w:pPr>
              <w:pStyle w:val="Compact"/>
            </w:pPr>
            <w:r>
              <w:t xml:space="preserve">JTC</w:t>
            </w:r>
          </w:p>
        </w:tc>
        <w:tc>
          <w:tcPr/>
          <w:p>
            <w:pPr>
              <w:pStyle w:val="Compact"/>
            </w:pPr>
            <w:r>
              <w:t xml:space="preserve">Joint Technical Committee (ISO/IEC)</w:t>
            </w:r>
          </w:p>
        </w:tc>
        <w:tc>
          <w:tcPr/>
          <w:p>
            <w:pPr>
              <w:pStyle w:val="Compact"/>
            </w:pPr>
            <w:r>
              <w:t xml:space="preserve">Part IX Section 9.7</w:t>
            </w:r>
          </w:p>
        </w:tc>
      </w:tr>
      <w:tr>
        <w:tc>
          <w:tcPr/>
          <w:p>
            <w:pPr>
              <w:pStyle w:val="Compact"/>
            </w:pPr>
            <w:r>
              <w:t xml:space="preserve">LCIA</w:t>
            </w:r>
          </w:p>
        </w:tc>
        <w:tc>
          <w:tcPr/>
          <w:p>
            <w:pPr>
              <w:pStyle w:val="Compact"/>
            </w:pPr>
            <w:r>
              <w:t xml:space="preserve">London Court of International Arbitration</w:t>
            </w:r>
          </w:p>
        </w:tc>
        <w:tc>
          <w:tcPr/>
          <w:p>
            <w:pPr>
              <w:pStyle w:val="Compact"/>
            </w:pPr>
            <w:r>
              <w:t xml:space="preserve">Part X</w:t>
            </w:r>
          </w:p>
        </w:tc>
      </w:tr>
      <w:tr>
        <w:tc>
          <w:tcPr/>
          <w:p>
            <w:pPr>
              <w:pStyle w:val="Compact"/>
            </w:pPr>
            <w:r>
              <w:t xml:space="preserve">MeitY</w:t>
            </w:r>
          </w:p>
        </w:tc>
        <w:tc>
          <w:tcPr/>
          <w:p>
            <w:pPr>
              <w:pStyle w:val="Compact"/>
            </w:pPr>
            <w:r>
              <w:t xml:space="preserve">Ministry of Electronics and Information Technology (India)</w:t>
            </w:r>
          </w:p>
        </w:tc>
        <w:tc>
          <w:tcPr/>
          <w:p>
            <w:pPr>
              <w:pStyle w:val="Compact"/>
            </w:pPr>
            <w:r>
              <w:t xml:space="preserve">Part XI</w:t>
            </w:r>
          </w:p>
        </w:tc>
      </w:tr>
      <w:tr>
        <w:tc>
          <w:tcPr/>
          <w:p>
            <w:pPr>
              <w:pStyle w:val="Compact"/>
            </w:pPr>
            <w:r>
              <w:t xml:space="preserve">ML-DSA</w:t>
            </w:r>
          </w:p>
        </w:tc>
        <w:tc>
          <w:tcPr/>
          <w:p>
            <w:pPr>
              <w:pStyle w:val="Compact"/>
            </w:pPr>
            <w:r>
              <w:t xml:space="preserve">Module-Lattice-Based Digital Signature Algorithm</w:t>
            </w:r>
          </w:p>
        </w:tc>
        <w:tc>
          <w:tcPr/>
          <w:p>
            <w:pPr>
              <w:pStyle w:val="Compact"/>
            </w:pPr>
            <w:r>
              <w:t xml:space="preserve">Part III Section 3.3</w:t>
            </w:r>
          </w:p>
        </w:tc>
      </w:tr>
      <w:tr>
        <w:tc>
          <w:tcPr/>
          <w:p>
            <w:pPr>
              <w:pStyle w:val="Compact"/>
            </w:pPr>
            <w:r>
              <w:t xml:space="preserve">ML-KEM</w:t>
            </w:r>
          </w:p>
        </w:tc>
        <w:tc>
          <w:tcPr/>
          <w:p>
            <w:pPr>
              <w:pStyle w:val="Compact"/>
            </w:pPr>
            <w:r>
              <w:t xml:space="preserve">Module-Lattice-Based Key-Encapsulation Mechanism</w:t>
            </w:r>
          </w:p>
        </w:tc>
        <w:tc>
          <w:tcPr/>
          <w:p>
            <w:pPr>
              <w:pStyle w:val="Compact"/>
            </w:pPr>
            <w:r>
              <w:t xml:space="preserve">Part III Section 3.2</w:t>
            </w:r>
          </w:p>
        </w:tc>
      </w:tr>
      <w:tr>
        <w:tc>
          <w:tcPr/>
          <w:p>
            <w:pPr>
              <w:pStyle w:val="Compact"/>
            </w:pPr>
            <w:r>
              <w:t xml:space="preserve">MX</w:t>
            </w:r>
          </w:p>
        </w:tc>
        <w:tc>
          <w:tcPr/>
          <w:p>
            <w:pPr>
              <w:pStyle w:val="Compact"/>
            </w:pPr>
            <w:r>
              <w:t xml:space="preserve">Mixed (Origin Code)</w:t>
            </w:r>
          </w:p>
        </w:tc>
        <w:tc>
          <w:tcPr/>
          <w:p>
            <w:pPr>
              <w:pStyle w:val="Compact"/>
            </w:pPr>
            <w:r>
              <w:t xml:space="preserve">Part V Section 5.6.4</w:t>
            </w:r>
          </w:p>
        </w:tc>
      </w:tr>
      <w:tr>
        <w:tc>
          <w:tcPr/>
          <w:p>
            <w:pPr>
              <w:pStyle w:val="Compact"/>
            </w:pPr>
            <w:r>
              <w:t xml:space="preserve">NIS2</w:t>
            </w:r>
          </w:p>
        </w:tc>
        <w:tc>
          <w:tcPr/>
          <w:p>
            <w:pPr>
              <w:pStyle w:val="Compact"/>
            </w:pPr>
            <w:r>
              <w:t xml:space="preserve">Network and Information Security Directive 2</w:t>
            </w:r>
          </w:p>
        </w:tc>
        <w:tc>
          <w:tcPr/>
          <w:p>
            <w:pPr>
              <w:pStyle w:val="Compact"/>
            </w:pPr>
            <w:r>
              <w:t xml:space="preserve">Part IX Section 9.1.5</w:t>
            </w:r>
          </w:p>
        </w:tc>
      </w:tr>
      <w:tr>
        <w:tc>
          <w:tcPr/>
          <w:p>
            <w:pPr>
              <w:pStyle w:val="Compact"/>
            </w:pPr>
            <w:r>
              <w:t xml:space="preserve">NIST</w:t>
            </w:r>
          </w:p>
        </w:tc>
        <w:tc>
          <w:tcPr/>
          <w:p>
            <w:pPr>
              <w:pStyle w:val="Compact"/>
            </w:pPr>
            <w:r>
              <w:t xml:space="preserve">National Institute of Standards and Technology (US)</w:t>
            </w:r>
          </w:p>
        </w:tc>
        <w:tc>
          <w:tcPr/>
          <w:p>
            <w:pPr>
              <w:pStyle w:val="Compact"/>
            </w:pPr>
            <w:r>
              <w:t xml:space="preserve">Part III</w:t>
            </w:r>
          </w:p>
        </w:tc>
      </w:tr>
      <w:tr>
        <w:tc>
          <w:tcPr/>
          <w:p>
            <w:pPr>
              <w:pStyle w:val="Compact"/>
            </w:pPr>
            <w:r>
              <w:t xml:space="preserve">NIST AI RMF</w:t>
            </w:r>
          </w:p>
        </w:tc>
        <w:tc>
          <w:tcPr/>
          <w:p>
            <w:pPr>
              <w:pStyle w:val="Compact"/>
            </w:pPr>
            <w:r>
              <w:t xml:space="preserve">NIST Artificial Intelligence Risk Management Framework</w:t>
            </w:r>
          </w:p>
        </w:tc>
        <w:tc>
          <w:tcPr/>
          <w:p>
            <w:pPr>
              <w:pStyle w:val="Compact"/>
            </w:pPr>
            <w:r>
              <w:t xml:space="preserve">Part IX Section 9.2.2</w:t>
            </w:r>
          </w:p>
        </w:tc>
      </w:tr>
      <w:tr>
        <w:tc>
          <w:tcPr/>
          <w:p>
            <w:pPr>
              <w:pStyle w:val="Compact"/>
            </w:pPr>
            <w:r>
              <w:t xml:space="preserve">NIST CSF</w:t>
            </w:r>
          </w:p>
        </w:tc>
        <w:tc>
          <w:tcPr/>
          <w:p>
            <w:pPr>
              <w:pStyle w:val="Compact"/>
            </w:pPr>
            <w:r>
              <w:t xml:space="preserve">NIST Cybersecurity Framework</w:t>
            </w:r>
          </w:p>
        </w:tc>
        <w:tc>
          <w:tcPr/>
          <w:p>
            <w:pPr>
              <w:pStyle w:val="Compact"/>
            </w:pPr>
            <w:r>
              <w:t xml:space="preserve">Appendix E</w:t>
            </w:r>
          </w:p>
        </w:tc>
      </w:tr>
      <w:tr>
        <w:tc>
          <w:tcPr/>
          <w:p>
            <w:pPr>
              <w:pStyle w:val="Compact"/>
            </w:pPr>
            <w:r>
              <w:t xml:space="preserve">NTP</w:t>
            </w:r>
          </w:p>
        </w:tc>
        <w:tc>
          <w:tcPr/>
          <w:p>
            <w:pPr>
              <w:pStyle w:val="Compact"/>
            </w:pPr>
            <w:r>
              <w:t xml:space="preserve">Network Time Protocol</w:t>
            </w:r>
          </w:p>
        </w:tc>
        <w:tc>
          <w:tcPr/>
          <w:p>
            <w:pPr>
              <w:pStyle w:val="Compact"/>
            </w:pPr>
            <w:r>
              <w:t xml:space="preserve">Part VII Section 7.4.5</w:t>
            </w:r>
          </w:p>
        </w:tc>
      </w:tr>
      <w:tr>
        <w:tc>
          <w:tcPr/>
          <w:p>
            <w:pPr>
              <w:pStyle w:val="Compact"/>
            </w:pPr>
            <w:r>
              <w:t xml:space="preserve">NZIAC</w:t>
            </w:r>
          </w:p>
        </w:tc>
        <w:tc>
          <w:tcPr/>
          <w:p>
            <w:pPr>
              <w:pStyle w:val="Compact"/>
            </w:pPr>
            <w:r>
              <w:t xml:space="preserve">New Zealand International Arbitration Centre</w:t>
            </w:r>
          </w:p>
        </w:tc>
        <w:tc>
          <w:tcPr/>
          <w:p>
            <w:pPr>
              <w:pStyle w:val="Compact"/>
            </w:pPr>
            <w:r>
              <w:t xml:space="preserve">Part X</w:t>
            </w:r>
          </w:p>
        </w:tc>
      </w:tr>
      <w:tr>
        <w:tc>
          <w:tcPr/>
          <w:p>
            <w:pPr>
              <w:pStyle w:val="Compact"/>
            </w:pPr>
            <w:r>
              <w:t xml:space="preserve">OECD</w:t>
            </w:r>
          </w:p>
        </w:tc>
        <w:tc>
          <w:tcPr/>
          <w:p>
            <w:pPr>
              <w:pStyle w:val="Compact"/>
            </w:pPr>
            <w:r>
              <w:t xml:space="preserve">Organisation for Economic Co-operation and Development</w:t>
            </w:r>
          </w:p>
        </w:tc>
        <w:tc>
          <w:tcPr/>
          <w:p>
            <w:pPr>
              <w:pStyle w:val="Compact"/>
            </w:pPr>
            <w:r>
              <w:t xml:space="preserve">Part IX Section 9.6</w:t>
            </w:r>
          </w:p>
        </w:tc>
      </w:tr>
      <w:tr>
        <w:tc>
          <w:tcPr/>
          <w:p>
            <w:pPr>
              <w:pStyle w:val="Compact"/>
            </w:pPr>
            <w:r>
              <w:t xml:space="preserve">OH</w:t>
            </w:r>
          </w:p>
        </w:tc>
        <w:tc>
          <w:tcPr/>
          <w:p>
            <w:pPr>
              <w:pStyle w:val="Compact"/>
            </w:pPr>
            <w:r>
              <w:t xml:space="preserve">Original Human (Origin Code)</w:t>
            </w:r>
          </w:p>
        </w:tc>
        <w:tc>
          <w:tcPr/>
          <w:p>
            <w:pPr>
              <w:pStyle w:val="Compact"/>
            </w:pPr>
            <w:r>
              <w:t xml:space="preserve">Part V Section 5.6.1</w:t>
            </w:r>
          </w:p>
        </w:tc>
      </w:tr>
      <w:tr>
        <w:tc>
          <w:tcPr/>
          <w:p>
            <w:pPr>
              <w:pStyle w:val="Compact"/>
            </w:pPr>
            <w:r>
              <w:t xml:space="preserve">OPC</w:t>
            </w:r>
          </w:p>
        </w:tc>
        <w:tc>
          <w:tcPr/>
          <w:p>
            <w:pPr>
              <w:pStyle w:val="Compact"/>
            </w:pPr>
            <w:r>
              <w:t xml:space="preserve">Office of the Privacy Commissioner (NZ)</w:t>
            </w:r>
          </w:p>
        </w:tc>
        <w:tc>
          <w:tcPr/>
          <w:p>
            <w:pPr>
              <w:pStyle w:val="Compact"/>
            </w:pPr>
            <w:r>
              <w:t xml:space="preserve">Part IX Section 9.4</w:t>
            </w:r>
          </w:p>
        </w:tc>
      </w:tr>
      <w:tr>
        <w:tc>
          <w:tcPr/>
          <w:p>
            <w:pPr>
              <w:pStyle w:val="Compact"/>
            </w:pPr>
            <w:r>
              <w:t xml:space="preserve">OSA</w:t>
            </w:r>
          </w:p>
        </w:tc>
        <w:tc>
          <w:tcPr/>
          <w:p>
            <w:pPr>
              <w:pStyle w:val="Compact"/>
            </w:pPr>
            <w:r>
              <w:t xml:space="preserve">Online Safety Act 2023 (UK)</w:t>
            </w:r>
          </w:p>
        </w:tc>
        <w:tc>
          <w:tcPr/>
          <w:p>
            <w:pPr>
              <w:pStyle w:val="Compact"/>
            </w:pPr>
            <w:r>
              <w:t xml:space="preserve">Part IX Section 9.3.1</w:t>
            </w:r>
          </w:p>
        </w:tc>
      </w:tr>
      <w:tr>
        <w:tc>
          <w:tcPr/>
          <w:p>
            <w:pPr>
              <w:pStyle w:val="Compact"/>
            </w:pPr>
            <w:r>
              <w:t xml:space="preserve">PHP</w:t>
            </w:r>
          </w:p>
        </w:tc>
        <w:tc>
          <w:tcPr/>
          <w:p>
            <w:pPr>
              <w:pStyle w:val="Compact"/>
            </w:pPr>
            <w:r>
              <w:t xml:space="preserve">PHP: Hypertext Preprocessor</w:t>
            </w:r>
          </w:p>
        </w:tc>
        <w:tc>
          <w:tcPr/>
          <w:p>
            <w:pPr>
              <w:pStyle w:val="Compact"/>
            </w:pPr>
            <w:r>
              <w:t xml:space="preserve">Part VIII</w:t>
            </w:r>
          </w:p>
        </w:tc>
      </w:tr>
      <w:tr>
        <w:tc>
          <w:tcPr/>
          <w:p>
            <w:pPr>
              <w:pStyle w:val="Compact"/>
            </w:pPr>
            <w:r>
              <w:t xml:space="preserve">PKCS</w:t>
            </w:r>
          </w:p>
        </w:tc>
        <w:tc>
          <w:tcPr/>
          <w:p>
            <w:pPr>
              <w:pStyle w:val="Compact"/>
            </w:pPr>
            <w:r>
              <w:t xml:space="preserve">Public-Key Cryptography Standards</w:t>
            </w:r>
          </w:p>
        </w:tc>
        <w:tc>
          <w:tcPr/>
          <w:p>
            <w:pPr>
              <w:pStyle w:val="Compact"/>
            </w:pPr>
            <w:r>
              <w:t xml:space="preserve">Part II Section 2.7</w:t>
            </w:r>
          </w:p>
        </w:tc>
      </w:tr>
      <w:tr>
        <w:tc>
          <w:tcPr/>
          <w:p>
            <w:pPr>
              <w:pStyle w:val="Compact"/>
            </w:pPr>
            <w:r>
              <w:t xml:space="preserve">PQ</w:t>
            </w:r>
          </w:p>
        </w:tc>
        <w:tc>
          <w:tcPr/>
          <w:p>
            <w:pPr>
              <w:pStyle w:val="Compact"/>
            </w:pPr>
            <w:r>
              <w:t xml:space="preserve">Post-Quantum</w:t>
            </w:r>
          </w:p>
        </w:tc>
        <w:tc>
          <w:tcPr/>
          <w:p>
            <w:pPr>
              <w:pStyle w:val="Compact"/>
            </w:pPr>
            <w:r>
              <w:t xml:space="preserve">Part III</w:t>
            </w:r>
          </w:p>
        </w:tc>
      </w:tr>
      <w:tr>
        <w:tc>
          <w:tcPr/>
          <w:p>
            <w:pPr>
              <w:pStyle w:val="Compact"/>
            </w:pPr>
            <w:r>
              <w:t xml:space="preserve">PRF</w:t>
            </w:r>
          </w:p>
        </w:tc>
        <w:tc>
          <w:tcPr/>
          <w:p>
            <w:pPr>
              <w:pStyle w:val="Compact"/>
            </w:pPr>
            <w:r>
              <w:t xml:space="preserve">Pseudorandom Function</w:t>
            </w:r>
          </w:p>
        </w:tc>
        <w:tc>
          <w:tcPr/>
          <w:p>
            <w:pPr>
              <w:pStyle w:val="Compact"/>
            </w:pPr>
            <w:r>
              <w:t xml:space="preserve">Part III Section 3.5</w:t>
            </w:r>
          </w:p>
        </w:tc>
      </w:tr>
      <w:tr>
        <w:tc>
          <w:tcPr/>
          <w:p>
            <w:pPr>
              <w:pStyle w:val="Compact"/>
            </w:pPr>
            <w:r>
              <w:t xml:space="preserve">PWA</w:t>
            </w:r>
          </w:p>
        </w:tc>
        <w:tc>
          <w:tcPr/>
          <w:p>
            <w:pPr>
              <w:pStyle w:val="Compact"/>
            </w:pPr>
            <w:r>
              <w:t xml:space="preserve">Progressive Web Application</w:t>
            </w:r>
          </w:p>
        </w:tc>
        <w:tc>
          <w:tcPr/>
          <w:p>
            <w:pPr>
              <w:pStyle w:val="Compact"/>
            </w:pPr>
            <w:r>
              <w:t xml:space="preserve">Part VIII Section 8.5</w:t>
            </w:r>
          </w:p>
        </w:tc>
      </w:tr>
      <w:tr>
        <w:tc>
          <w:tcPr/>
          <w:p>
            <w:pPr>
              <w:pStyle w:val="Compact"/>
            </w:pPr>
            <w:r>
              <w:t xml:space="preserve">QES</w:t>
            </w:r>
          </w:p>
        </w:tc>
        <w:tc>
          <w:tcPr/>
          <w:p>
            <w:pPr>
              <w:pStyle w:val="Compact"/>
            </w:pPr>
            <w:r>
              <w:t xml:space="preserve">Qualified Electronic Signature</w:t>
            </w:r>
          </w:p>
        </w:tc>
        <w:tc>
          <w:tcPr/>
          <w:p>
            <w:pPr>
              <w:pStyle w:val="Compact"/>
            </w:pPr>
            <w:r>
              <w:t xml:space="preserve">Part IX Section 9.1.4</w:t>
            </w:r>
          </w:p>
        </w:tc>
      </w:tr>
      <w:tr>
        <w:tc>
          <w:tcPr/>
          <w:p>
            <w:pPr>
              <w:pStyle w:val="Compact"/>
            </w:pPr>
            <w:r>
              <w:t xml:space="preserve">RFC</w:t>
            </w:r>
          </w:p>
        </w:tc>
        <w:tc>
          <w:tcPr/>
          <w:p>
            <w:pPr>
              <w:pStyle w:val="Compact"/>
            </w:pPr>
            <w:r>
              <w:t xml:space="preserve">Request for Comments (IETF)</w:t>
            </w:r>
          </w:p>
        </w:tc>
        <w:tc>
          <w:tcPr/>
          <w:p>
            <w:pPr>
              <w:pStyle w:val="Compact"/>
            </w:pPr>
            <w:r>
              <w:t xml:space="preserve">Part V</w:t>
            </w:r>
          </w:p>
        </w:tc>
      </w:tr>
      <w:tr>
        <w:tc>
          <w:tcPr/>
          <w:p>
            <w:pPr>
              <w:pStyle w:val="Compact"/>
            </w:pPr>
            <w:r>
              <w:t xml:space="preserve">RSA</w:t>
            </w:r>
          </w:p>
        </w:tc>
        <w:tc>
          <w:tcPr/>
          <w:p>
            <w:pPr>
              <w:pStyle w:val="Compact"/>
            </w:pPr>
            <w:r>
              <w:t xml:space="preserve">Rivest-Shamir-Adleman</w:t>
            </w:r>
          </w:p>
        </w:tc>
        <w:tc>
          <w:tcPr/>
          <w:p>
            <w:pPr>
              <w:pStyle w:val="Compact"/>
            </w:pPr>
            <w:r>
              <w:t xml:space="preserve">Part III</w:t>
            </w:r>
          </w:p>
        </w:tc>
      </w:tr>
      <w:tr>
        <w:tc>
          <w:tcPr/>
          <w:p>
            <w:pPr>
              <w:pStyle w:val="Compact"/>
            </w:pPr>
            <w:r>
              <w:t xml:space="preserve">SBOM</w:t>
            </w:r>
          </w:p>
        </w:tc>
        <w:tc>
          <w:tcPr/>
          <w:p>
            <w:pPr>
              <w:pStyle w:val="Compact"/>
            </w:pPr>
            <w:r>
              <w:t xml:space="preserve">Software Bill of Materials</w:t>
            </w:r>
          </w:p>
        </w:tc>
        <w:tc>
          <w:tcPr/>
          <w:p>
            <w:pPr>
              <w:pStyle w:val="Compact"/>
            </w:pPr>
            <w:r>
              <w:t xml:space="preserve">Part VIII Section 8.7.3</w:t>
            </w:r>
          </w:p>
        </w:tc>
      </w:tr>
      <w:tr>
        <w:tc>
          <w:tcPr/>
          <w:p>
            <w:pPr>
              <w:pStyle w:val="Compact"/>
            </w:pPr>
            <w:r>
              <w:t xml:space="preserve">SCC</w:t>
            </w:r>
          </w:p>
        </w:tc>
        <w:tc>
          <w:tcPr/>
          <w:p>
            <w:pPr>
              <w:pStyle w:val="Compact"/>
            </w:pPr>
            <w:r>
              <w:t xml:space="preserve">Standard Contractual Clauses (EU)</w:t>
            </w:r>
          </w:p>
        </w:tc>
        <w:tc>
          <w:tcPr/>
          <w:p>
            <w:pPr>
              <w:pStyle w:val="Compact"/>
            </w:pPr>
            <w:r>
              <w:t xml:space="preserve">Part IX Section 9.1.2</w:t>
            </w:r>
          </w:p>
        </w:tc>
      </w:tr>
      <w:tr>
        <w:tc>
          <w:tcPr/>
          <w:p>
            <w:pPr>
              <w:pStyle w:val="Compact"/>
            </w:pPr>
            <w:r>
              <w:t xml:space="preserve">SDK</w:t>
            </w:r>
          </w:p>
        </w:tc>
        <w:tc>
          <w:tcPr/>
          <w:p>
            <w:pPr>
              <w:pStyle w:val="Compact"/>
            </w:pPr>
            <w:r>
              <w:t xml:space="preserve">Software Development Kit</w:t>
            </w:r>
          </w:p>
        </w:tc>
        <w:tc>
          <w:tcPr/>
          <w:p>
            <w:pPr>
              <w:pStyle w:val="Compact"/>
            </w:pPr>
            <w:r>
              <w:t xml:space="preserve">Part VIII Section 8.6</w:t>
            </w:r>
          </w:p>
        </w:tc>
      </w:tr>
      <w:tr>
        <w:tc>
          <w:tcPr/>
          <w:p>
            <w:pPr>
              <w:pStyle w:val="Compact"/>
            </w:pPr>
            <w:r>
              <w:t xml:space="preserve">SHA2-256</w:t>
            </w:r>
          </w:p>
        </w:tc>
        <w:tc>
          <w:tcPr/>
          <w:p>
            <w:pPr>
              <w:pStyle w:val="Compact"/>
            </w:pPr>
            <w:r>
              <w:t xml:space="preserve">Secure Hash Algorithm 2 with 256-bit output</w:t>
            </w:r>
          </w:p>
        </w:tc>
        <w:tc>
          <w:tcPr/>
          <w:p>
            <w:pPr>
              <w:pStyle w:val="Compact"/>
            </w:pPr>
            <w:r>
              <w:t xml:space="preserve">Part III Section 3.6</w:t>
            </w:r>
          </w:p>
        </w:tc>
      </w:tr>
      <w:tr>
        <w:tc>
          <w:tcPr/>
          <w:p>
            <w:pPr>
              <w:pStyle w:val="Compact"/>
            </w:pPr>
            <w:r>
              <w:t xml:space="preserve">SHA3-256</w:t>
            </w:r>
          </w:p>
        </w:tc>
        <w:tc>
          <w:tcPr/>
          <w:p>
            <w:pPr>
              <w:pStyle w:val="Compact"/>
            </w:pPr>
            <w:r>
              <w:t xml:space="preserve">Secure Hash Algorithm 3 with 256-bit output</w:t>
            </w:r>
          </w:p>
        </w:tc>
        <w:tc>
          <w:tcPr/>
          <w:p>
            <w:pPr>
              <w:pStyle w:val="Compact"/>
            </w:pPr>
            <w:r>
              <w:t xml:space="preserve">Part III Section 3.6</w:t>
            </w:r>
          </w:p>
        </w:tc>
      </w:tr>
      <w:tr>
        <w:tc>
          <w:tcPr/>
          <w:p>
            <w:pPr>
              <w:pStyle w:val="Compact"/>
            </w:pPr>
            <w:r>
              <w:t xml:space="preserve">SHAKE-256</w:t>
            </w:r>
          </w:p>
        </w:tc>
        <w:tc>
          <w:tcPr/>
          <w:p>
            <w:pPr>
              <w:pStyle w:val="Compact"/>
            </w:pPr>
            <w:r>
              <w:t xml:space="preserve">Secure Hash Algorithm KECCAK Extendable-Output Function</w:t>
            </w:r>
          </w:p>
        </w:tc>
        <w:tc>
          <w:tcPr/>
          <w:p>
            <w:pPr>
              <w:pStyle w:val="Compact"/>
            </w:pPr>
            <w:r>
              <w:t xml:space="preserve">Part III</w:t>
            </w:r>
          </w:p>
        </w:tc>
      </w:tr>
      <w:tr>
        <w:tc>
          <w:tcPr/>
          <w:p>
            <w:pPr>
              <w:pStyle w:val="Compact"/>
            </w:pPr>
            <w:r>
              <w:t xml:space="preserve">SLH-DSA</w:t>
            </w:r>
          </w:p>
        </w:tc>
        <w:tc>
          <w:tcPr/>
          <w:p>
            <w:pPr>
              <w:pStyle w:val="Compact"/>
            </w:pPr>
            <w:r>
              <w:t xml:space="preserve">Stateless Hash-Based Digital Signature Algorithm</w:t>
            </w:r>
          </w:p>
        </w:tc>
        <w:tc>
          <w:tcPr/>
          <w:p>
            <w:pPr>
              <w:pStyle w:val="Compact"/>
            </w:pPr>
            <w:r>
              <w:t xml:space="preserve">Part III Section 3.4</w:t>
            </w:r>
          </w:p>
        </w:tc>
      </w:tr>
      <w:tr>
        <w:tc>
          <w:tcPr/>
          <w:p>
            <w:pPr>
              <w:pStyle w:val="Compact"/>
            </w:pPr>
            <w:r>
              <w:t xml:space="preserve">TIP</w:t>
            </w:r>
          </w:p>
        </w:tc>
        <w:tc>
          <w:tcPr/>
          <w:p>
            <w:pPr>
              <w:pStyle w:val="Compact"/>
            </w:pPr>
            <w:r>
              <w:t xml:space="preserve">Trust Identity Protocol</w:t>
            </w:r>
          </w:p>
        </w:tc>
        <w:tc>
          <w:tcPr/>
          <w:p>
            <w:pPr>
              <w:pStyle w:val="Compact"/>
            </w:pPr>
            <w:r>
              <w:t xml:space="preserve">Throughout</w:t>
            </w:r>
          </w:p>
        </w:tc>
      </w:tr>
      <w:tr>
        <w:tc>
          <w:tcPr/>
          <w:p>
            <w:pPr>
              <w:pStyle w:val="Compact"/>
            </w:pPr>
            <w:r>
              <w:t xml:space="preserve">TIPCL</w:t>
            </w:r>
          </w:p>
        </w:tc>
        <w:tc>
          <w:tcPr/>
          <w:p>
            <w:pPr>
              <w:pStyle w:val="Compact"/>
            </w:pPr>
            <w:r>
              <w:t xml:space="preserve">TIP Protocol Code License</w:t>
            </w:r>
          </w:p>
        </w:tc>
        <w:tc>
          <w:tcPr/>
          <w:p>
            <w:pPr>
              <w:pStyle w:val="Compact"/>
            </w:pPr>
            <w:r>
              <w:t xml:space="preserve">Part X Section 10.3</w:t>
            </w:r>
          </w:p>
        </w:tc>
      </w:tr>
      <w:tr>
        <w:tc>
          <w:tcPr/>
          <w:p>
            <w:pPr>
              <w:pStyle w:val="Compact"/>
            </w:pPr>
            <w:r>
              <w:t xml:space="preserve">TLS</w:t>
            </w:r>
          </w:p>
        </w:tc>
        <w:tc>
          <w:tcPr/>
          <w:p>
            <w:pPr>
              <w:pStyle w:val="Compact"/>
            </w:pPr>
            <w:r>
              <w:t xml:space="preserve">Transport Layer Security</w:t>
            </w:r>
          </w:p>
        </w:tc>
        <w:tc>
          <w:tcPr/>
          <w:p>
            <w:pPr>
              <w:pStyle w:val="Compact"/>
            </w:pPr>
            <w:r>
              <w:t xml:space="preserve">Part III Section 3.2</w:t>
            </w:r>
          </w:p>
        </w:tc>
      </w:tr>
      <w:tr>
        <w:tc>
          <w:tcPr/>
          <w:p>
            <w:pPr>
              <w:pStyle w:val="Compact"/>
            </w:pPr>
            <w:r>
              <w:t xml:space="preserve">TUDPA</w:t>
            </w:r>
          </w:p>
        </w:tc>
        <w:tc>
          <w:tcPr/>
          <w:p>
            <w:pPr>
              <w:pStyle w:val="Compact"/>
            </w:pPr>
            <w:r>
              <w:t xml:space="preserve">Texas Data Privacy and Security Act</w:t>
            </w:r>
          </w:p>
        </w:tc>
        <w:tc>
          <w:tcPr/>
          <w:p>
            <w:pPr>
              <w:pStyle w:val="Compact"/>
            </w:pPr>
            <w:r>
              <w:t xml:space="preserve">Part IX</w:t>
            </w:r>
          </w:p>
        </w:tc>
      </w:tr>
      <w:tr>
        <w:tc>
          <w:tcPr/>
          <w:p>
            <w:pPr>
              <w:pStyle w:val="Compact"/>
            </w:pPr>
            <w:r>
              <w:t xml:space="preserve">USCO</w:t>
            </w:r>
          </w:p>
        </w:tc>
        <w:tc>
          <w:tcPr/>
          <w:p>
            <w:pPr>
              <w:pStyle w:val="Compact"/>
            </w:pPr>
            <w:r>
              <w:t xml:space="preserve">United States Copyright Office</w:t>
            </w:r>
          </w:p>
        </w:tc>
        <w:tc>
          <w:tcPr/>
          <w:p>
            <w:pPr>
              <w:pStyle w:val="Compact"/>
            </w:pPr>
            <w:r>
              <w:t xml:space="preserve">Part X</w:t>
            </w:r>
          </w:p>
        </w:tc>
      </w:tr>
      <w:tr>
        <w:tc>
          <w:tcPr/>
          <w:p>
            <w:pPr>
              <w:pStyle w:val="Compact"/>
            </w:pPr>
            <w:r>
              <w:t xml:space="preserve">USPTO</w:t>
            </w:r>
          </w:p>
        </w:tc>
        <w:tc>
          <w:tcPr/>
          <w:p>
            <w:pPr>
              <w:pStyle w:val="Compact"/>
            </w:pPr>
            <w:r>
              <w:t xml:space="preserve">United States Patent and Trademark Office</w:t>
            </w:r>
          </w:p>
        </w:tc>
        <w:tc>
          <w:tcPr/>
          <w:p>
            <w:pPr>
              <w:pStyle w:val="Compact"/>
            </w:pPr>
            <w:r>
              <w:t xml:space="preserve">Part X Section 10.5</w:t>
            </w:r>
          </w:p>
        </w:tc>
      </w:tr>
      <w:tr>
        <w:tc>
          <w:tcPr/>
          <w:p>
            <w:pPr>
              <w:pStyle w:val="Compact"/>
            </w:pPr>
            <w:r>
              <w:t xml:space="preserve">UUID</w:t>
            </w:r>
          </w:p>
        </w:tc>
        <w:tc>
          <w:tcPr/>
          <w:p>
            <w:pPr>
              <w:pStyle w:val="Compact"/>
            </w:pPr>
            <w:r>
              <w:t xml:space="preserve">Universally Unique Identifier</w:t>
            </w:r>
          </w:p>
        </w:tc>
        <w:tc>
          <w:tcPr/>
          <w:p>
            <w:pPr>
              <w:pStyle w:val="Compact"/>
            </w:pPr>
            <w:r>
              <w:t xml:space="preserve">Part VIII</w:t>
            </w:r>
          </w:p>
        </w:tc>
      </w:tr>
      <w:tr>
        <w:tc>
          <w:tcPr/>
          <w:p>
            <w:pPr>
              <w:pStyle w:val="Compact"/>
            </w:pPr>
            <w:r>
              <w:t xml:space="preserve">VLOP</w:t>
            </w:r>
          </w:p>
        </w:tc>
        <w:tc>
          <w:tcPr/>
          <w:p>
            <w:pPr>
              <w:pStyle w:val="Compact"/>
            </w:pPr>
            <w:r>
              <w:t xml:space="preserve">Very Large Online Platform (DSA)</w:t>
            </w:r>
          </w:p>
        </w:tc>
        <w:tc>
          <w:tcPr/>
          <w:p>
            <w:pPr>
              <w:pStyle w:val="Compact"/>
            </w:pPr>
            <w:r>
              <w:t xml:space="preserve">Part IX Section 9.1.3</w:t>
            </w:r>
          </w:p>
        </w:tc>
      </w:tr>
      <w:tr>
        <w:tc>
          <w:tcPr/>
          <w:p>
            <w:pPr>
              <w:pStyle w:val="Compact"/>
            </w:pPr>
            <w:r>
              <w:t xml:space="preserve">VP</w:t>
            </w:r>
          </w:p>
        </w:tc>
        <w:tc>
          <w:tcPr/>
          <w:p>
            <w:pPr>
              <w:pStyle w:val="Compact"/>
            </w:pPr>
            <w:r>
              <w:t xml:space="preserve">Verification Provider</w:t>
            </w:r>
          </w:p>
        </w:tc>
        <w:tc>
          <w:tcPr/>
          <w:p>
            <w:pPr>
              <w:pStyle w:val="Compact"/>
            </w:pPr>
            <w:r>
              <w:t xml:space="preserve">Part IV Section 4.2</w:t>
            </w:r>
          </w:p>
        </w:tc>
      </w:tr>
      <w:tr>
        <w:tc>
          <w:tcPr/>
          <w:p>
            <w:pPr>
              <w:pStyle w:val="Compact"/>
            </w:pPr>
            <w:r>
              <w:t xml:space="preserve">W3C</w:t>
            </w:r>
          </w:p>
        </w:tc>
        <w:tc>
          <w:tcPr/>
          <w:p>
            <w:pPr>
              <w:pStyle w:val="Compact"/>
            </w:pPr>
            <w:r>
              <w:t xml:space="preserve">World Wide Web Consortium</w:t>
            </w:r>
          </w:p>
        </w:tc>
        <w:tc>
          <w:tcPr/>
          <w:p>
            <w:pPr>
              <w:pStyle w:val="Compact"/>
            </w:pPr>
            <w:r>
              <w:t xml:space="preserve">Part IX Section 9.7</w:t>
            </w:r>
          </w:p>
        </w:tc>
      </w:tr>
      <w:tr>
        <w:tc>
          <w:tcPr/>
          <w:p>
            <w:pPr>
              <w:pStyle w:val="Compact"/>
            </w:pPr>
            <w:r>
              <w:t xml:space="preserve">WCAG</w:t>
            </w:r>
          </w:p>
        </w:tc>
        <w:tc>
          <w:tcPr/>
          <w:p>
            <w:pPr>
              <w:pStyle w:val="Compact"/>
            </w:pPr>
            <w:r>
              <w:t xml:space="preserve">Web Content Accessibility Guidelines</w:t>
            </w:r>
          </w:p>
        </w:tc>
        <w:tc>
          <w:tcPr/>
          <w:p>
            <w:pPr>
              <w:pStyle w:val="Compact"/>
            </w:pPr>
            <w:r>
              <w:t xml:space="preserve">Part VI Section 6.7.3</w:t>
            </w:r>
          </w:p>
        </w:tc>
      </w:tr>
      <w:tr>
        <w:tc>
          <w:tcPr/>
          <w:p>
            <w:pPr>
              <w:pStyle w:val="Compact"/>
            </w:pPr>
            <w:r>
              <w:t xml:space="preserve">WIPO</w:t>
            </w:r>
          </w:p>
        </w:tc>
        <w:tc>
          <w:tcPr/>
          <w:p>
            <w:pPr>
              <w:pStyle w:val="Compact"/>
            </w:pPr>
            <w:r>
              <w:t xml:space="preserve">World Intellectual Property Organization</w:t>
            </w:r>
          </w:p>
        </w:tc>
        <w:tc>
          <w:tcPr/>
          <w:p>
            <w:pPr>
              <w:pStyle w:val="Compact"/>
            </w:pPr>
            <w:r>
              <w:t xml:space="preserve">Part IX</w:t>
            </w:r>
          </w:p>
        </w:tc>
      </w:tr>
    </w:tbl>
    <w:bookmarkEnd w:id="268"/>
    <w:bookmarkStart w:id="284" w:name="appendix-c-cna-2.2-worked-example"/>
    <w:p>
      <w:pPr>
        <w:pStyle w:val="Heading1"/>
      </w:pPr>
      <w:r>
        <w:t xml:space="preserve">Appendix C: CNA-2.2 Worked Example</w:t>
      </w:r>
    </w:p>
    <w:p>
      <w:pPr>
        <w:pStyle w:val="FirstParagraph"/>
      </w:pPr>
      <w:r>
        <w:t xml:space="preserve">This Appendix supplies a worked example of the Canonical</w:t>
      </w:r>
      <w:r>
        <w:t xml:space="preserve"> </w:t>
      </w:r>
      <w:r>
        <w:t xml:space="preserve">Normalization Algorithm Version 2.2 applied to a representative content</w:t>
      </w:r>
      <w:r>
        <w:t xml:space="preserve"> </w:t>
      </w:r>
      <w:r>
        <w:t xml:space="preserve">unit. The example is included for reference and is reproducible against</w:t>
      </w:r>
      <w:r>
        <w:t xml:space="preserve"> </w:t>
      </w:r>
      <w:r>
        <w:t xml:space="preserve">the conformance test vectors published in the canonical TIP Protocol</w:t>
      </w:r>
      <w:r>
        <w:t xml:space="preserve"> </w:t>
      </w:r>
      <w:r>
        <w:t xml:space="preserve">Specification.</w:t>
      </w:r>
    </w:p>
    <w:bookmarkStart w:id="269" w:name="c.1-source-content-unit"/>
    <w:p>
      <w:pPr>
        <w:pStyle w:val="Heading2"/>
      </w:pPr>
      <w:r>
        <w:t xml:space="preserve">C.1 Source content unit</w:t>
      </w:r>
    </w:p>
    <w:p>
      <w:pPr>
        <w:pStyle w:val="FirstParagraph"/>
      </w:pPr>
      <w:r>
        <w:t xml:space="preserve">The source content unit is a journalistic article published on a</w:t>
      </w:r>
      <w:r>
        <w:t xml:space="preserve"> </w:t>
      </w:r>
      <w:r>
        <w:t xml:space="preserve">publisher conformant to the WordPress reference plugin, with the</w:t>
      </w:r>
      <w:r>
        <w:t xml:space="preserve"> </w:t>
      </w:r>
      <w:r>
        <w:t xml:space="preserve">following salient characteristics:</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Field</w:t>
            </w:r>
          </w:p>
        </w:tc>
        <w:tc>
          <w:tcPr/>
          <w:p>
            <w:pPr>
              <w:pStyle w:val="Compact"/>
            </w:pPr>
            <w:r>
              <w:t xml:space="preserve">Value</w:t>
            </w:r>
          </w:p>
        </w:tc>
      </w:tr>
      <w:tr>
        <w:tc>
          <w:tcPr/>
          <w:p>
            <w:pPr>
              <w:pStyle w:val="Compact"/>
            </w:pPr>
            <w:r>
              <w:t xml:space="preserve">Source URL</w:t>
            </w:r>
          </w:p>
        </w:tc>
        <w:tc>
          <w:tcPr/>
          <w:p>
            <w:pPr>
              <w:pStyle w:val="Compact"/>
            </w:pPr>
            <w:r>
              <w:rPr>
                <w:rStyle w:val="VerbatimChar"/>
              </w:rPr>
              <w:t xml:space="preserve">https://example-publication.com/2026/06/02/article-slug?utm_source=newsletter</w:t>
            </w:r>
          </w:p>
        </w:tc>
      </w:tr>
      <w:tr>
        <w:tc>
          <w:tcPr/>
          <w:p>
            <w:pPr>
              <w:pStyle w:val="Compact"/>
            </w:pPr>
            <w:r>
              <w:t xml:space="preserve">Platform identifier</w:t>
            </w:r>
          </w:p>
        </w:tc>
        <w:tc>
          <w:tcPr/>
          <w:p>
            <w:pPr>
              <w:pStyle w:val="Compact"/>
            </w:pPr>
            <w:r>
              <w:rPr>
                <w:rStyle w:val="VerbatimChar"/>
              </w:rPr>
              <w:t xml:space="preserve">wpref</w:t>
            </w:r>
            <w:r>
              <w:t xml:space="preserve"> </w:t>
            </w:r>
            <w:r>
              <w:t xml:space="preserve">(WordPress with reference plugin)</w:t>
            </w:r>
          </w:p>
        </w:tc>
      </w:tr>
      <w:tr>
        <w:tc>
          <w:tcPr/>
          <w:p>
            <w:pPr>
              <w:pStyle w:val="Compact"/>
            </w:pPr>
            <w:r>
              <w:t xml:space="preserve">Publication time</w:t>
            </w:r>
          </w:p>
        </w:tc>
        <w:tc>
          <w:tcPr/>
          <w:p>
            <w:pPr>
              <w:pStyle w:val="Compact"/>
            </w:pPr>
            <w:r>
              <w:rPr>
                <w:rStyle w:val="VerbatimChar"/>
              </w:rPr>
              <w:t xml:space="preserve">2026-06-02T14:30:00Z</w:t>
            </w:r>
          </w:p>
        </w:tc>
      </w:tr>
      <w:tr>
        <w:tc>
          <w:tcPr/>
          <w:p>
            <w:pPr>
              <w:pStyle w:val="Compact"/>
            </w:pPr>
            <w:r>
              <w:t xml:space="preserve">Author byline</w:t>
            </w:r>
          </w:p>
        </w:tc>
        <w:tc>
          <w:tcPr/>
          <w:p>
            <w:pPr>
              <w:pStyle w:val="Compact"/>
            </w:pPr>
            <w:r>
              <w:t xml:space="preserve">“Sample Journalist”</w:t>
            </w:r>
          </w:p>
        </w:tc>
      </w:tr>
      <w:tr>
        <w:tc>
          <w:tcPr/>
          <w:p>
            <w:pPr>
              <w:pStyle w:val="Compact"/>
            </w:pPr>
            <w:r>
              <w:t xml:space="preserve">Author Creator Mode CTID</w:t>
            </w:r>
          </w:p>
        </w:tc>
        <w:tc>
          <w:tcPr/>
          <w:p>
            <w:pPr>
              <w:pStyle w:val="Compact"/>
            </w:pPr>
            <w:r>
              <w:rPr>
                <w:rStyle w:val="VerbatimChar"/>
              </w:rPr>
              <w:t xml:space="preserve">Q7ABCD-EFGHIJ-KLMNOP-QRSTUV-WXYZ23</w:t>
            </w:r>
          </w:p>
        </w:tc>
      </w:tr>
      <w:tr>
        <w:tc>
          <w:tcPr/>
          <w:p>
            <w:pPr>
              <w:pStyle w:val="Compact"/>
            </w:pPr>
            <w:r>
              <w:t xml:space="preserve">Publisher Publisher Mode CTID</w:t>
            </w:r>
          </w:p>
        </w:tc>
        <w:tc>
          <w:tcPr/>
          <w:p>
            <w:pPr>
              <w:pStyle w:val="Compact"/>
            </w:pPr>
            <w:r>
              <w:rPr>
                <w:rStyle w:val="VerbatimChar"/>
              </w:rPr>
              <w:t xml:space="preserve">R8MNOP-QRSTUV-WXYZ23-ABCDEF-GHIJKL</w:t>
            </w:r>
          </w:p>
        </w:tc>
      </w:tr>
      <w:tr>
        <w:tc>
          <w:tcPr/>
          <w:p>
            <w:pPr>
              <w:pStyle w:val="Compact"/>
            </w:pPr>
            <w:r>
              <w:t xml:space="preserve">Title (raw)</w:t>
            </w:r>
          </w:p>
        </w:tc>
        <w:tc>
          <w:tcPr/>
          <w:p>
            <w:pPr>
              <w:pStyle w:val="Compact"/>
            </w:pPr>
            <w:r>
              <w:t xml:space="preserve">“What the new law says about content provenance”</w:t>
            </w:r>
          </w:p>
        </w:tc>
      </w:tr>
      <w:tr>
        <w:tc>
          <w:tcPr/>
          <w:p>
            <w:pPr>
              <w:pStyle w:val="Compact"/>
            </w:pPr>
            <w:r>
              <w:t xml:space="preserve">Body (raw, abbreviated for the example)</w:t>
            </w:r>
          </w:p>
        </w:tc>
        <w:tc>
          <w:tcPr/>
          <w:p>
            <w:pPr>
              <w:pStyle w:val="Compact"/>
            </w:pPr>
            <w:r>
              <w:t xml:space="preserve">Five paragraphs of text including one embedded image and one</w:t>
            </w:r>
          </w:p>
        </w:tc>
      </w:tr>
      <w:tr>
        <w:tc>
          <w:tcPr/>
          <w:p>
            <w:pPr>
              <w:pStyle w:val="Compact"/>
            </w:pPr>
            <w:r>
              <w:t xml:space="preserve">external hyperlink</w:t>
            </w:r>
          </w:p>
        </w:tc>
        <w:tc>
          <w:tcPr/>
          <w:p>
            <w:pPr>
              <w:pStyle w:val="Compact"/>
            </w:pPr>
          </w:p>
        </w:tc>
      </w:tr>
      <w:tr>
        <w:tc>
          <w:tcPr/>
          <w:p>
            <w:pPr>
              <w:pStyle w:val="Compact"/>
            </w:pPr>
            <w:r>
              <w:t xml:space="preserve">Origin Code</w:t>
            </w:r>
          </w:p>
        </w:tc>
        <w:tc>
          <w:tcPr/>
          <w:p>
            <w:pPr>
              <w:pStyle w:val="Compact"/>
            </w:pPr>
            <w:r>
              <w:rPr>
                <w:rStyle w:val="VerbatimChar"/>
              </w:rPr>
              <w:t xml:space="preserve">OH</w:t>
            </w:r>
            <w:r>
              <w:t xml:space="preserve"> </w:t>
            </w:r>
            <w:r>
              <w:t xml:space="preserve">(Original Human)</w:t>
            </w:r>
          </w:p>
        </w:tc>
      </w:tr>
      <w:tr>
        <w:tc>
          <w:tcPr/>
          <w:p>
            <w:pPr>
              <w:pStyle w:val="Compact"/>
            </w:pPr>
            <w:r>
              <w:t xml:space="preserve">Version number</w:t>
            </w:r>
          </w:p>
        </w:tc>
        <w:tc>
          <w:tcPr/>
          <w:p>
            <w:pPr>
              <w:pStyle w:val="Compact"/>
            </w:pPr>
            <w:r>
              <w:rPr>
                <w:rStyle w:val="VerbatimChar"/>
              </w:rPr>
              <w:t xml:space="preserve">1</w:t>
            </w:r>
            <w:r>
              <w:t xml:space="preserve"> </w:t>
            </w:r>
            <w:r>
              <w:t xml:space="preserve">(initial publication)</w:t>
            </w:r>
          </w:p>
        </w:tc>
      </w:tr>
    </w:tbl>
    <w:bookmarkEnd w:id="269"/>
    <w:bookmarkStart w:id="279" w:name="c.2-step-by-step-normalization"/>
    <w:p>
      <w:pPr>
        <w:pStyle w:val="Heading2"/>
      </w:pPr>
      <w:r>
        <w:t xml:space="preserve">C.2 Step-by-step normalization</w:t>
      </w:r>
    </w:p>
    <w:bookmarkStart w:id="270" w:name="step-1-platform-identification-1"/>
    <w:p>
      <w:pPr>
        <w:pStyle w:val="Heading3"/>
      </w:pPr>
      <w:r>
        <w:t xml:space="preserve">Step 1: Platform identification</w:t>
      </w:r>
    </w:p>
    <w:p>
      <w:pPr>
        <w:pStyle w:val="FirstParagraph"/>
      </w:pPr>
      <w:r>
        <w:t xml:space="preserve">The Algorithm matches the source URL pattern, the document’s HTTP</w:t>
      </w:r>
      <w:r>
        <w:t xml:space="preserve"> </w:t>
      </w:r>
      <w:r>
        <w:t xml:space="preserve">response headers, and the document’s structural signatures against the</w:t>
      </w:r>
      <w:r>
        <w:t xml:space="preserve"> </w:t>
      </w:r>
      <w:r>
        <w:t xml:space="preserve">platform registry. The matched platform code is</w:t>
      </w:r>
      <w:r>
        <w:t xml:space="preserve"> </w:t>
      </w:r>
      <w:r>
        <w:rPr>
          <w:rStyle w:val="VerbatimChar"/>
        </w:rPr>
        <w:t xml:space="preserve">wpref</w:t>
      </w:r>
      <w:r>
        <w:t xml:space="preserve">. The</w:t>
      </w:r>
      <w:r>
        <w:t xml:space="preserve"> </w:t>
      </w:r>
      <w:r>
        <w:t xml:space="preserve">platform code is recorded as the first field of the canonical byte</w:t>
      </w:r>
      <w:r>
        <w:t xml:space="preserve"> </w:t>
      </w:r>
      <w:r>
        <w:t xml:space="preserve">sequence.</w:t>
      </w:r>
    </w:p>
    <w:bookmarkEnd w:id="270"/>
    <w:bookmarkStart w:id="271" w:name="step-2-content-scope-extraction-1"/>
    <w:p>
      <w:pPr>
        <w:pStyle w:val="Heading3"/>
      </w:pPr>
      <w:r>
        <w:t xml:space="preserve">Step 2: Content scope extraction</w:t>
      </w:r>
    </w:p>
    <w:p>
      <w:pPr>
        <w:pStyle w:val="FirstParagraph"/>
      </w:pPr>
      <w:r>
        <w:t xml:space="preserve">The Algorithm applies the</w:t>
      </w:r>
      <w:r>
        <w:t xml:space="preserve"> </w:t>
      </w:r>
      <w:r>
        <w:rPr>
          <w:rStyle w:val="VerbatimChar"/>
        </w:rPr>
        <w:t xml:space="preserve">wpref</w:t>
      </w:r>
      <w:r>
        <w:t xml:space="preserve"> </w:t>
      </w:r>
      <w:r>
        <w:t xml:space="preserve">platform’s content scope</w:t>
      </w:r>
      <w:r>
        <w:t xml:space="preserve"> </w:t>
      </w:r>
      <w:r>
        <w:t xml:space="preserve">selectors:</w:t>
      </w:r>
    </w:p>
    <w:tbl>
      <w:tblPr>
        <w:tblStyle w:val="Table"/>
        <w:tblW w:type="pct" w:w="5000"/>
        <w:tblLayout w:type="fixed"/>
        <w:tblLook w:firstRow="1" w:lastRow="0" w:firstColumn="0" w:lastColumn="0" w:noHBand="0" w:noVBand="0" w:val="0020"/>
      </w:tblPr>
      <w:tblGrid>
        <w:gridCol w:w="4361"/>
        <w:gridCol w:w="2410"/>
        <w:gridCol w:w="1147"/>
      </w:tblGrid>
      <w:tr>
        <w:trPr>
          <w:tblHeader w:val="on"/>
        </w:trPr>
        <w:tc>
          <w:tcPr/>
          <w:p>
            <w:pPr>
              <w:pStyle w:val="Compact"/>
            </w:pPr>
            <w:r>
              <w:t xml:space="preserve">Element</w:t>
            </w:r>
          </w:p>
        </w:tc>
        <w:tc>
          <w:tcPr/>
          <w:p>
            <w:pPr>
              <w:pStyle w:val="Compact"/>
            </w:pPr>
            <w:r>
              <w:t xml:space="preserve">Source</w:t>
            </w:r>
          </w:p>
        </w:tc>
        <w:tc>
          <w:tcPr/>
          <w:p>
            <w:pPr>
              <w:pStyle w:val="Compact"/>
            </w:pPr>
            <w:r>
              <w:t xml:space="preserve">Action</w:t>
            </w:r>
          </w:p>
        </w:tc>
      </w:tr>
      <w:tr>
        <w:tc>
          <w:tcPr/>
          <w:p>
            <w:pPr>
              <w:pStyle w:val="Compact"/>
            </w:pPr>
            <w:r>
              <w:t xml:space="preserve">Article header (</w:t>
            </w:r>
            <w:r>
              <w:rPr>
                <w:rStyle w:val="VerbatimChar"/>
              </w:rPr>
              <w:t xml:space="preserve">&lt;article&gt;</w:t>
            </w:r>
            <w:r>
              <w:t xml:space="preserve"> </w:t>
            </w:r>
            <w:r>
              <w:t xml:space="preserve">element)</w:t>
            </w:r>
          </w:p>
        </w:tc>
        <w:tc>
          <w:tcPr/>
          <w:p>
            <w:pPr>
              <w:pStyle w:val="Compact"/>
            </w:pPr>
            <w:r>
              <w:t xml:space="preserve">Document body</w:t>
            </w:r>
          </w:p>
        </w:tc>
        <w:tc>
          <w:tcPr/>
          <w:p>
            <w:pPr>
              <w:pStyle w:val="Compact"/>
            </w:pPr>
            <w:r>
              <w:t xml:space="preserve">Retained</w:t>
            </w:r>
          </w:p>
        </w:tc>
      </w:tr>
      <w:tr>
        <w:tc>
          <w:tcPr/>
          <w:p>
            <w:pPr>
              <w:pStyle w:val="Compact"/>
            </w:pPr>
            <w:r>
              <w:t xml:space="preserve">Navigation menu (</w:t>
            </w:r>
            <w:r>
              <w:rPr>
                <w:rStyle w:val="VerbatimChar"/>
              </w:rPr>
              <w:t xml:space="preserve">&lt;nav&gt;</w:t>
            </w:r>
            <w:r>
              <w:t xml:space="preserve"> </w:t>
            </w:r>
            <w:r>
              <w:t xml:space="preserve">element)</w:t>
            </w:r>
          </w:p>
        </w:tc>
        <w:tc>
          <w:tcPr/>
          <w:p>
            <w:pPr>
              <w:pStyle w:val="Compact"/>
            </w:pPr>
            <w:r>
              <w:t xml:space="preserve">Document header</w:t>
            </w:r>
          </w:p>
        </w:tc>
        <w:tc>
          <w:tcPr/>
          <w:p>
            <w:pPr>
              <w:pStyle w:val="Compact"/>
            </w:pPr>
            <w:r>
              <w:t xml:space="preserve">Removed</w:t>
            </w:r>
          </w:p>
        </w:tc>
      </w:tr>
      <w:tr>
        <w:tc>
          <w:tcPr/>
          <w:p>
            <w:pPr>
              <w:pStyle w:val="Compact"/>
            </w:pPr>
            <w:r>
              <w:t xml:space="preserve">Sidebar (</w:t>
            </w:r>
            <w:r>
              <w:rPr>
                <w:rStyle w:val="VerbatimChar"/>
              </w:rPr>
              <w:t xml:space="preserve">&lt;aside&gt;</w:t>
            </w:r>
            <w:r>
              <w:t xml:space="preserve"> </w:t>
            </w:r>
            <w:r>
              <w:t xml:space="preserve">element)</w:t>
            </w:r>
          </w:p>
        </w:tc>
        <w:tc>
          <w:tcPr/>
          <w:p>
            <w:pPr>
              <w:pStyle w:val="Compact"/>
            </w:pPr>
            <w:r>
              <w:t xml:space="preserve">Document body</w:t>
            </w:r>
          </w:p>
        </w:tc>
        <w:tc>
          <w:tcPr/>
          <w:p>
            <w:pPr>
              <w:pStyle w:val="Compact"/>
            </w:pPr>
            <w:r>
              <w:t xml:space="preserve">Removed</w:t>
            </w:r>
          </w:p>
        </w:tc>
      </w:tr>
      <w:tr>
        <w:tc>
          <w:tcPr/>
          <w:p>
            <w:pPr>
              <w:pStyle w:val="Compact"/>
            </w:pPr>
            <w:r>
              <w:t xml:space="preserve">Comments section</w:t>
            </w:r>
          </w:p>
        </w:tc>
        <w:tc>
          <w:tcPr/>
          <w:p>
            <w:pPr>
              <w:pStyle w:val="Compact"/>
            </w:pPr>
            <w:r>
              <w:t xml:space="preserve">Document footer</w:t>
            </w:r>
          </w:p>
        </w:tc>
        <w:tc>
          <w:tcPr/>
          <w:p>
            <w:pPr>
              <w:pStyle w:val="Compact"/>
            </w:pPr>
            <w:r>
              <w:t xml:space="preserve">Removed</w:t>
            </w:r>
          </w:p>
        </w:tc>
      </w:tr>
      <w:tr>
        <w:tc>
          <w:tcPr/>
          <w:p>
            <w:pPr>
              <w:pStyle w:val="Compact"/>
            </w:pPr>
            <w:r>
              <w:t xml:space="preserve">Related articles</w:t>
            </w:r>
          </w:p>
        </w:tc>
        <w:tc>
          <w:tcPr/>
          <w:p>
            <w:pPr>
              <w:pStyle w:val="Compact"/>
            </w:pPr>
            <w:r>
              <w:t xml:space="preserve">Document footer</w:t>
            </w:r>
          </w:p>
        </w:tc>
        <w:tc>
          <w:tcPr/>
          <w:p>
            <w:pPr>
              <w:pStyle w:val="Compact"/>
            </w:pPr>
            <w:r>
              <w:t xml:space="preserve">Removed</w:t>
            </w:r>
          </w:p>
        </w:tc>
      </w:tr>
      <w:tr>
        <w:tc>
          <w:tcPr/>
          <w:p>
            <w:pPr>
              <w:pStyle w:val="Compact"/>
            </w:pPr>
            <w:r>
              <w:t xml:space="preserve">Advertisement units</w:t>
            </w:r>
          </w:p>
        </w:tc>
        <w:tc>
          <w:tcPr/>
          <w:p>
            <w:pPr>
              <w:pStyle w:val="Compact"/>
            </w:pPr>
            <w:r>
              <w:t xml:space="preserve">Various</w:t>
            </w:r>
          </w:p>
        </w:tc>
        <w:tc>
          <w:tcPr/>
          <w:p>
            <w:pPr>
              <w:pStyle w:val="Compact"/>
            </w:pPr>
            <w:r>
              <w:t xml:space="preserve">Removed</w:t>
            </w:r>
          </w:p>
        </w:tc>
      </w:tr>
      <w:tr>
        <w:tc>
          <w:tcPr/>
          <w:p>
            <w:pPr>
              <w:pStyle w:val="Compact"/>
            </w:pPr>
            <w:r>
              <w:t xml:space="preserve">Article body</w:t>
            </w:r>
          </w:p>
        </w:tc>
        <w:tc>
          <w:tcPr/>
          <w:p>
            <w:pPr>
              <w:pStyle w:val="Compact"/>
            </w:pPr>
            <w:r>
              <w:rPr>
                <w:rStyle w:val="VerbatimChar"/>
              </w:rPr>
              <w:t xml:space="preserve">&lt;article&gt;</w:t>
            </w:r>
            <w:r>
              <w:t xml:space="preserve"> </w:t>
            </w:r>
            <w:r>
              <w:t xml:space="preserve">element</w:t>
            </w:r>
          </w:p>
        </w:tc>
        <w:tc>
          <w:tcPr/>
          <w:p>
            <w:pPr>
              <w:pStyle w:val="Compact"/>
            </w:pPr>
            <w:r>
              <w:t xml:space="preserve">Retained</w:t>
            </w:r>
          </w:p>
        </w:tc>
      </w:tr>
    </w:tbl>
    <w:p>
      <w:pPr>
        <w:pStyle w:val="BodyText"/>
      </w:pPr>
      <w:r>
        <w:t xml:space="preserve">The content scope is the</w:t>
      </w:r>
      <w:r>
        <w:t xml:space="preserve"> </w:t>
      </w:r>
      <w:r>
        <w:rPr>
          <w:rStyle w:val="VerbatimChar"/>
        </w:rPr>
        <w:t xml:space="preserve">&lt;article&gt;</w:t>
      </w:r>
      <w:r>
        <w:t xml:space="preserve"> </w:t>
      </w:r>
      <w:r>
        <w:t xml:space="preserve">element,</w:t>
      </w:r>
      <w:r>
        <w:t xml:space="preserve"> </w:t>
      </w:r>
      <w:r>
        <w:t xml:space="preserve">comprising the article title, the article byline, the article</w:t>
      </w:r>
      <w:r>
        <w:t xml:space="preserve"> </w:t>
      </w:r>
      <w:r>
        <w:t xml:space="preserve">publication date, the article body, and the embedded media within the</w:t>
      </w:r>
      <w:r>
        <w:t xml:space="preserve"> </w:t>
      </w:r>
      <w:r>
        <w:t xml:space="preserve">article body.</w:t>
      </w:r>
    </w:p>
    <w:bookmarkEnd w:id="271"/>
    <w:bookmarkStart w:id="272" w:name="step-3-structural-canonicalization-1"/>
    <w:p>
      <w:pPr>
        <w:pStyle w:val="Heading3"/>
      </w:pPr>
      <w:r>
        <w:t xml:space="preserve">Step 3: Structural canonicalization</w:t>
      </w:r>
    </w:p>
    <w:p>
      <w:pPr>
        <w:pStyle w:val="FirstParagraph"/>
      </w:pPr>
      <w:r>
        <w:t xml:space="preserve">The retained</w:t>
      </w:r>
      <w:r>
        <w:t xml:space="preserve"> </w:t>
      </w:r>
      <w:r>
        <w:rPr>
          <w:rStyle w:val="VerbatimChar"/>
        </w:rPr>
        <w:t xml:space="preserve">&lt;article&gt;</w:t>
      </w:r>
      <w:r>
        <w:t xml:space="preserve"> </w:t>
      </w:r>
      <w:r>
        <w:t xml:space="preserve">element is canonicalized at</w:t>
      </w:r>
      <w:r>
        <w:t xml:space="preserve"> </w:t>
      </w:r>
      <w:r>
        <w:t xml:space="preserve">the structural level:</w:t>
      </w:r>
    </w:p>
    <w:p>
      <w:pPr>
        <w:pStyle w:val="Compact"/>
        <w:numPr>
          <w:ilvl w:val="0"/>
          <w:numId w:val="1027"/>
        </w:numPr>
      </w:pPr>
      <w:r>
        <w:t xml:space="preserve">All HTML element names are normalized to lowercase.</w:t>
      </w:r>
    </w:p>
    <w:p>
      <w:pPr>
        <w:pStyle w:val="Compact"/>
        <w:numPr>
          <w:ilvl w:val="0"/>
          <w:numId w:val="1027"/>
        </w:numPr>
      </w:pPr>
      <w:r>
        <w:t xml:space="preserve">Attribute names are normalized to lowercase and sorted</w:t>
      </w:r>
      <w:r>
        <w:t xml:space="preserve"> </w:t>
      </w:r>
      <w:r>
        <w:t xml:space="preserve">lexicographically within each element.</w:t>
      </w:r>
    </w:p>
    <w:p>
      <w:pPr>
        <w:pStyle w:val="Compact"/>
        <w:numPr>
          <w:ilvl w:val="0"/>
          <w:numId w:val="1027"/>
        </w:numPr>
      </w:pPr>
      <w:r>
        <w:t xml:space="preserve">Attribute values are canonicalized per the published rules (boolean</w:t>
      </w:r>
      <w:r>
        <w:t xml:space="preserve"> </w:t>
      </w:r>
      <w:r>
        <w:t xml:space="preserve">attributes are normalized; URL attribute values are canonicalized in</w:t>
      </w:r>
      <w:r>
        <w:t xml:space="preserve"> </w:t>
      </w:r>
      <w:r>
        <w:t xml:space="preserve">Step 5; class attribute values are sorted).</w:t>
      </w:r>
    </w:p>
    <w:p>
      <w:pPr>
        <w:pStyle w:val="Compact"/>
        <w:numPr>
          <w:ilvl w:val="0"/>
          <w:numId w:val="1027"/>
        </w:numPr>
      </w:pPr>
      <w:r>
        <w:t xml:space="preserve">HTML comments are removed.</w:t>
      </w:r>
    </w:p>
    <w:p>
      <w:pPr>
        <w:pStyle w:val="Compact"/>
        <w:numPr>
          <w:ilvl w:val="0"/>
          <w:numId w:val="1027"/>
        </w:numPr>
      </w:pPr>
      <w:r>
        <w:t xml:space="preserve">Inline scripts (</w:t>
      </w:r>
      <w:r>
        <w:rPr>
          <w:rStyle w:val="VerbatimChar"/>
        </w:rPr>
        <w:t xml:space="preserve">&lt;script&gt;</w:t>
      </w:r>
      <w:r>
        <w:t xml:space="preserve"> </w:t>
      </w:r>
      <w:r>
        <w:t xml:space="preserve">elements) and inline</w:t>
      </w:r>
      <w:r>
        <w:t xml:space="preserve"> </w:t>
      </w:r>
      <w:r>
        <w:t xml:space="preserve">style elements are removed.</w:t>
      </w:r>
    </w:p>
    <w:p>
      <w:pPr>
        <w:pStyle w:val="Compact"/>
        <w:numPr>
          <w:ilvl w:val="0"/>
          <w:numId w:val="1027"/>
        </w:numPr>
      </w:pPr>
      <w:r>
        <w:t xml:space="preserve">Presentational HTML elements are removed; structural HTML elements</w:t>
      </w:r>
      <w:r>
        <w:t xml:space="preserve"> </w:t>
      </w:r>
      <w:r>
        <w:t xml:space="preserve">are retained.</w:t>
      </w:r>
    </w:p>
    <w:p>
      <w:pPr>
        <w:pStyle w:val="Compact"/>
        <w:numPr>
          <w:ilvl w:val="0"/>
          <w:numId w:val="1027"/>
        </w:numPr>
      </w:pPr>
      <w:r>
        <w:t xml:space="preserve">Whitespace within text nodes is normalized to single spaces.</w:t>
      </w:r>
    </w:p>
    <w:p>
      <w:pPr>
        <w:pStyle w:val="FirstParagraph"/>
      </w:pPr>
      <w:r>
        <w:t xml:space="preserve">The output is a structurally canonicalized HTML fragment.</w:t>
      </w:r>
    </w:p>
    <w:bookmarkEnd w:id="272"/>
    <w:bookmarkStart w:id="273" w:name="step-4-character-normalization-1"/>
    <w:p>
      <w:pPr>
        <w:pStyle w:val="Heading3"/>
      </w:pPr>
      <w:r>
        <w:t xml:space="preserve">Step 4: Character normalization</w:t>
      </w:r>
    </w:p>
    <w:p>
      <w:pPr>
        <w:pStyle w:val="FirstParagraph"/>
      </w:pPr>
      <w:r>
        <w:t xml:space="preserve">The text content within the canonicalized HTML fragment is normalized</w:t>
      </w:r>
      <w:r>
        <w:t xml:space="preserve"> </w:t>
      </w:r>
      <w:r>
        <w:t xml:space="preserve">at the character level:</w:t>
      </w:r>
    </w:p>
    <w:p>
      <w:pPr>
        <w:pStyle w:val="Compact"/>
        <w:numPr>
          <w:ilvl w:val="0"/>
          <w:numId w:val="1028"/>
        </w:numPr>
      </w:pPr>
      <w:r>
        <w:t xml:space="preserve">Unicode Normalization Form C is applied throughout.</w:t>
      </w:r>
    </w:p>
    <w:p>
      <w:pPr>
        <w:pStyle w:val="Compact"/>
        <w:numPr>
          <w:ilvl w:val="0"/>
          <w:numId w:val="1028"/>
        </w:numPr>
      </w:pPr>
      <w:r>
        <w:t xml:space="preserve">Curly punctuation marks are replaced with their straight ASCII</w:t>
      </w:r>
      <w:r>
        <w:t xml:space="preserve"> </w:t>
      </w:r>
      <w:r>
        <w:t xml:space="preserve">equivalents.</w:t>
      </w:r>
    </w:p>
    <w:p>
      <w:pPr>
        <w:pStyle w:val="Compact"/>
        <w:numPr>
          <w:ilvl w:val="0"/>
          <w:numId w:val="1028"/>
        </w:numPr>
      </w:pPr>
      <w:r>
        <w:t xml:space="preserve">Zero-width and invisible control characters are removed.</w:t>
      </w:r>
    </w:p>
    <w:p>
      <w:pPr>
        <w:pStyle w:val="Compact"/>
        <w:numPr>
          <w:ilvl w:val="0"/>
          <w:numId w:val="1028"/>
        </w:numPr>
      </w:pPr>
      <w:r>
        <w:t xml:space="preserve">Non-Latin script characters are preserved in their native form.</w:t>
      </w:r>
    </w:p>
    <w:bookmarkEnd w:id="273"/>
    <w:bookmarkStart w:id="274" w:name="step-5-reference-normalization-1"/>
    <w:p>
      <w:pPr>
        <w:pStyle w:val="Heading3"/>
      </w:pPr>
      <w:r>
        <w:t xml:space="preserve">Step 5: Reference normalization</w:t>
      </w:r>
    </w:p>
    <w:p>
      <w:pPr>
        <w:pStyle w:val="FirstParagraph"/>
      </w:pPr>
      <w:r>
        <w:t xml:space="preserve">References within the content scope are normalized:</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Reference type</w:t>
            </w:r>
          </w:p>
        </w:tc>
        <w:tc>
          <w:tcPr/>
          <w:p>
            <w:pPr>
              <w:pStyle w:val="Compact"/>
            </w:pPr>
            <w:r>
              <w:t xml:space="preserve">Source</w:t>
            </w:r>
          </w:p>
        </w:tc>
        <w:tc>
          <w:tcPr/>
          <w:p>
            <w:pPr>
              <w:pStyle w:val="Compact"/>
            </w:pPr>
            <w:r>
              <w:t xml:space="preserve">Action</w:t>
            </w:r>
          </w:p>
        </w:tc>
      </w:tr>
      <w:tr>
        <w:tc>
          <w:tcPr/>
          <w:p>
            <w:pPr>
              <w:pStyle w:val="Compact"/>
            </w:pPr>
            <w:r>
              <w:t xml:space="preserve">External hyperlink</w:t>
            </w:r>
          </w:p>
        </w:tc>
        <w:tc>
          <w:tcPr/>
          <w:p>
            <w:pPr>
              <w:pStyle w:val="Compact"/>
            </w:pPr>
            <w:r>
              <w:rPr>
                <w:rStyle w:val="VerbatimChar"/>
              </w:rPr>
              <w:t xml:space="preserve">https://example-target.com/some-page?utm_medium=link&amp;utm_source=publisher&amp;id=42</w:t>
            </w:r>
          </w:p>
        </w:tc>
        <w:tc>
          <w:tcPr/>
          <w:p>
            <w:pPr>
              <w:pStyle w:val="Compact"/>
            </w:pPr>
            <w:r>
              <w:t xml:space="preserve">Tracking parameters (</w:t>
            </w:r>
            <w:r>
              <w:rPr>
                <w:rStyle w:val="VerbatimChar"/>
              </w:rPr>
              <w:t xml:space="preserve">utm_medium</w:t>
            </w:r>
            <w:r>
              <w:t xml:space="preserve">,</w:t>
            </w:r>
          </w:p>
        </w:tc>
      </w:tr>
    </w:tbl>
    <w:p>
      <w:pPr>
        <w:pStyle w:val="BodyText"/>
      </w:pPr>
      <w:r>
        <w:rPr>
          <w:rStyle w:val="VerbatimChar"/>
        </w:rPr>
        <w:t xml:space="preserve">utm_source</w:t>
      </w:r>
      <w:r>
        <w:t xml:space="preserve">) removed; substantive parameters</w:t>
      </w:r>
      <w:r>
        <w:t xml:space="preserve"> </w:t>
      </w:r>
      <w:r>
        <w:t xml:space="preserve">(</w:t>
      </w:r>
      <w:r>
        <w:rPr>
          <w:rStyle w:val="VerbatimChar"/>
        </w:rPr>
        <w:t xml:space="preserve">id</w:t>
      </w:r>
      <w:r>
        <w:t xml:space="preserve">) preserved; canonical URL:</w:t>
      </w:r>
      <w:r>
        <w:t xml:space="preserve"> </w:t>
      </w:r>
      <w:r>
        <w:rPr>
          <w:rStyle w:val="VerbatimChar"/>
        </w:rPr>
        <w:t xml:space="preserve">https://example-target.com/some-page?id=42</w:t>
      </w:r>
      <w:r>
        <w:t xml:space="preserve"> </w:t>
      </w:r>
      <w:r>
        <w:t xml:space="preserve">| | Embedded</w:t>
      </w:r>
      <w:r>
        <w:t xml:space="preserve"> </w:t>
      </w:r>
      <w:r>
        <w:t xml:space="preserve">image |</w:t>
      </w:r>
      <w:r>
        <w:t xml:space="preserve"> </w:t>
      </w:r>
      <w:r>
        <w:rPr>
          <w:rStyle w:val="VerbatimChar"/>
        </w:rPr>
        <w:t xml:space="preserve">&lt;img src="https://cdn.example-publication.com/image.jpg" alt="Image alt text"&gt;</w:t>
      </w:r>
      <w:r>
        <w:t xml:space="preserve"> </w:t>
      </w:r>
      <w:r>
        <w:t xml:space="preserve">| Image identified by CNA-IMG variant; the URL is replaced by the</w:t>
      </w:r>
      <w:r>
        <w:t xml:space="preserve"> </w:t>
      </w:r>
      <w:r>
        <w:t xml:space="preserve">three-hash content identifier of the image in the canonical byte</w:t>
      </w:r>
      <w:r>
        <w:t xml:space="preserve"> </w:t>
      </w:r>
      <w:r>
        <w:t xml:space="preserve">sequence; the alt text is preserved as text | | Canonical URL of the</w:t>
      </w:r>
      <w:r>
        <w:t xml:space="preserve"> </w:t>
      </w:r>
      <w:r>
        <w:t xml:space="preserve">article |</w:t>
      </w:r>
      <w:r>
        <w:t xml:space="preserve"> </w:t>
      </w:r>
      <w:r>
        <w:rPr>
          <w:rStyle w:val="VerbatimChar"/>
        </w:rPr>
        <w:t xml:space="preserve">https://example-publication.com/2026/06/02/article-slug?utm_source=newsletter</w:t>
      </w:r>
      <w:r>
        <w:t xml:space="preserve"> </w:t>
      </w:r>
      <w:r>
        <w:t xml:space="preserve">| Tracking parameters removed; canonical URL:</w:t>
      </w:r>
      <w:r>
        <w:t xml:space="preserve"> </w:t>
      </w:r>
      <w:r>
        <w:rPr>
          <w:rStyle w:val="VerbatimChar"/>
        </w:rPr>
        <w:t xml:space="preserve">https://example-publication.com/2026/06/02/article-slug</w:t>
      </w:r>
      <w:r>
        <w:t xml:space="preserve"> </w:t>
      </w:r>
      <w:r>
        <w:t xml:space="preserve">|</w:t>
      </w:r>
    </w:p>
    <w:bookmarkEnd w:id="274"/>
    <w:bookmarkStart w:id="275" w:name="step-6-embedded-media-identification-1"/>
    <w:p>
      <w:pPr>
        <w:pStyle w:val="Heading3"/>
      </w:pPr>
      <w:r>
        <w:t xml:space="preserve">Step 6: Embedded media identification</w:t>
      </w:r>
    </w:p>
    <w:p>
      <w:pPr>
        <w:pStyle w:val="FirstParagraph"/>
      </w:pPr>
      <w:r>
        <w:t xml:space="preserve">The embedded image is processed by the CNA-IMG variant, producing a</w:t>
      </w:r>
      <w:r>
        <w:t xml:space="preserve"> </w:t>
      </w:r>
      <w:r>
        <w:t xml:space="preserve">three-hash content identifier of the form:</w:t>
      </w:r>
    </w:p>
    <w:p>
      <w:pPr>
        <w:pStyle w:val="SourceCode"/>
      </w:pPr>
      <w:r>
        <w:rPr>
          <w:rStyle w:val="VerbatimChar"/>
        </w:rPr>
        <w:t xml:space="preserve">{</w:t>
      </w:r>
      <w:r>
        <w:br/>
      </w:r>
      <w:r>
        <w:rPr>
          <w:rStyle w:val="VerbatimChar"/>
        </w:rPr>
        <w:t xml:space="preserve">  "sha2_256": "[SHA2-256 of the canonicalized image bytes]",</w:t>
      </w:r>
      <w:r>
        <w:br/>
      </w:r>
      <w:r>
        <w:rPr>
          <w:rStyle w:val="VerbatimChar"/>
        </w:rPr>
        <w:t xml:space="preserve">  "sha3_256": "[SHA3-256 of the canonicalized image bytes]",</w:t>
      </w:r>
      <w:r>
        <w:br/>
      </w:r>
      <w:r>
        <w:rPr>
          <w:rStyle w:val="VerbatimChar"/>
        </w:rPr>
        <w:t xml:space="preserve">  "blake3":   "[BLAKE3 of the canonicalized image bytes]"</w:t>
      </w:r>
      <w:r>
        <w:br/>
      </w:r>
      <w:r>
        <w:rPr>
          <w:rStyle w:val="VerbatimChar"/>
        </w:rPr>
        <w:t xml:space="preserve">}</w:t>
      </w:r>
    </w:p>
    <w:p>
      <w:pPr>
        <w:pStyle w:val="FirstParagraph"/>
      </w:pPr>
      <w:r>
        <w:t xml:space="preserve">The three-hash identifier is substituted for the image URL in the</w:t>
      </w:r>
      <w:r>
        <w:t xml:space="preserve"> </w:t>
      </w:r>
      <w:r>
        <w:t xml:space="preserve">canonical byte sequence.</w:t>
      </w:r>
    </w:p>
    <w:bookmarkEnd w:id="275"/>
    <w:bookmarkStart w:id="276" w:name="step-7-metadata-extraction-1"/>
    <w:p>
      <w:pPr>
        <w:pStyle w:val="Heading3"/>
      </w:pPr>
      <w:r>
        <w:t xml:space="preserve">Step 7: Metadata extraction</w:t>
      </w:r>
    </w:p>
    <w:p>
      <w:pPr>
        <w:pStyle w:val="FirstParagraph"/>
      </w:pPr>
      <w:r>
        <w:t xml:space="preserve">Document-level metadata is extracted:</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Metadata field</w:t>
            </w:r>
          </w:p>
        </w:tc>
        <w:tc>
          <w:tcPr/>
          <w:p>
            <w:pPr>
              <w:pStyle w:val="Compact"/>
            </w:pPr>
            <w:r>
              <w:t xml:space="preserve">Value</w:t>
            </w:r>
          </w:p>
        </w:tc>
      </w:tr>
      <w:tr>
        <w:tc>
          <w:tcPr/>
          <w:p>
            <w:pPr>
              <w:pStyle w:val="Compact"/>
            </w:pPr>
            <w:r>
              <w:t xml:space="preserve">Title</w:t>
            </w:r>
          </w:p>
        </w:tc>
        <w:tc>
          <w:tcPr/>
          <w:p>
            <w:pPr>
              <w:pStyle w:val="Compact"/>
            </w:pPr>
            <w:r>
              <w:t xml:space="preserve">“What the new law says about content provenance”</w:t>
            </w:r>
          </w:p>
        </w:tc>
      </w:tr>
      <w:tr>
        <w:tc>
          <w:tcPr/>
          <w:p>
            <w:pPr>
              <w:pStyle w:val="Compact"/>
            </w:pPr>
            <w:r>
              <w:t xml:space="preserve">Publication date</w:t>
            </w:r>
          </w:p>
        </w:tc>
        <w:tc>
          <w:tcPr/>
          <w:p>
            <w:pPr>
              <w:pStyle w:val="Compact"/>
            </w:pPr>
            <w:r>
              <w:rPr>
                <w:rStyle w:val="VerbatimChar"/>
              </w:rPr>
              <w:t xml:space="preserve">2026-06-02T14:30:00Z</w:t>
            </w:r>
          </w:p>
        </w:tc>
      </w:tr>
      <w:tr>
        <w:tc>
          <w:tcPr/>
          <w:p>
            <w:pPr>
              <w:pStyle w:val="Compact"/>
            </w:pPr>
            <w:r>
              <w:t xml:space="preserve">Language</w:t>
            </w:r>
          </w:p>
        </w:tc>
        <w:tc>
          <w:tcPr/>
          <w:p>
            <w:pPr>
              <w:pStyle w:val="Compact"/>
            </w:pPr>
            <w:r>
              <w:rPr>
                <w:rStyle w:val="VerbatimChar"/>
              </w:rPr>
              <w:t xml:space="preserve">en</w:t>
            </w:r>
            <w:r>
              <w:t xml:space="preserve"> </w:t>
            </w:r>
            <w:r>
              <w:t xml:space="preserve">(per IETF BCP 47)</w:t>
            </w:r>
          </w:p>
        </w:tc>
      </w:tr>
      <w:tr>
        <w:tc>
          <w:tcPr/>
          <w:p>
            <w:pPr>
              <w:pStyle w:val="Compact"/>
            </w:pPr>
            <w:r>
              <w:t xml:space="preserve">Author CTID</w:t>
            </w:r>
          </w:p>
        </w:tc>
        <w:tc>
          <w:tcPr/>
          <w:p>
            <w:pPr>
              <w:pStyle w:val="Compact"/>
            </w:pPr>
            <w:r>
              <w:rPr>
                <w:rStyle w:val="VerbatimChar"/>
              </w:rPr>
              <w:t xml:space="preserve">Q7ABCD-EFGHIJ-KLMNOP-QRSTUV-WXYZ23</w:t>
            </w:r>
          </w:p>
        </w:tc>
      </w:tr>
      <w:tr>
        <w:tc>
          <w:tcPr/>
          <w:p>
            <w:pPr>
              <w:pStyle w:val="Compact"/>
            </w:pPr>
            <w:r>
              <w:t xml:space="preserve">Publisher CTID</w:t>
            </w:r>
          </w:p>
        </w:tc>
        <w:tc>
          <w:tcPr/>
          <w:p>
            <w:pPr>
              <w:pStyle w:val="Compact"/>
            </w:pPr>
            <w:r>
              <w:rPr>
                <w:rStyle w:val="VerbatimChar"/>
              </w:rPr>
              <w:t xml:space="preserve">R8MNOP-QRSTUV-WXYZ23-ABCDEF-GHIJKL</w:t>
            </w:r>
          </w:p>
        </w:tc>
      </w:tr>
      <w:tr>
        <w:tc>
          <w:tcPr/>
          <w:p>
            <w:pPr>
              <w:pStyle w:val="Compact"/>
            </w:pPr>
            <w:r>
              <w:t xml:space="preserve">Canonical URL</w:t>
            </w:r>
          </w:p>
        </w:tc>
        <w:tc>
          <w:tcPr/>
          <w:p>
            <w:pPr>
              <w:pStyle w:val="Compact"/>
            </w:pPr>
            <w:r>
              <w:rPr>
                <w:rStyle w:val="VerbatimChar"/>
              </w:rPr>
              <w:t xml:space="preserve">https://example-publication.com/2026/06/02/article-slug</w:t>
            </w:r>
          </w:p>
        </w:tc>
      </w:tr>
      <w:tr>
        <w:tc>
          <w:tcPr/>
          <w:p>
            <w:pPr>
              <w:pStyle w:val="Compact"/>
            </w:pPr>
            <w:r>
              <w:t xml:space="preserve">Origin Code</w:t>
            </w:r>
          </w:p>
        </w:tc>
        <w:tc>
          <w:tcPr/>
          <w:p>
            <w:pPr>
              <w:pStyle w:val="Compact"/>
            </w:pPr>
            <w:r>
              <w:rPr>
                <w:rStyle w:val="VerbatimChar"/>
              </w:rPr>
              <w:t xml:space="preserve">OH</w:t>
            </w:r>
          </w:p>
        </w:tc>
      </w:tr>
      <w:tr>
        <w:tc>
          <w:tcPr/>
          <w:p>
            <w:pPr>
              <w:pStyle w:val="Compact"/>
            </w:pPr>
            <w:r>
              <w:t xml:space="preserve">Version number</w:t>
            </w:r>
          </w:p>
        </w:tc>
        <w:tc>
          <w:tcPr/>
          <w:p>
            <w:pPr>
              <w:pStyle w:val="Compact"/>
            </w:pPr>
            <w:r>
              <w:rPr>
                <w:rStyle w:val="VerbatimChar"/>
              </w:rPr>
              <w:t xml:space="preserve">1</w:t>
            </w:r>
          </w:p>
        </w:tc>
      </w:tr>
    </w:tbl>
    <w:bookmarkEnd w:id="276"/>
    <w:bookmarkStart w:id="277" w:name="step-8-serialization-1"/>
    <w:p>
      <w:pPr>
        <w:pStyle w:val="Heading3"/>
      </w:pPr>
      <w:r>
        <w:t xml:space="preserve">Step 8: Serialization</w:t>
      </w:r>
    </w:p>
    <w:p>
      <w:pPr>
        <w:pStyle w:val="FirstParagraph"/>
      </w:pPr>
      <w:r>
        <w:t xml:space="preserve">The output of Steps 1 through 7 is serialized into a canonical byte</w:t>
      </w:r>
      <w:r>
        <w:t xml:space="preserve"> </w:t>
      </w:r>
      <w:r>
        <w:t xml:space="preserve">sequence using RFC 8785 JSON Canonicalization Scheme. The serialized</w:t>
      </w:r>
      <w:r>
        <w:t xml:space="preserve"> </w:t>
      </w:r>
      <w:r>
        <w:t xml:space="preserve">output (abbreviated):</w:t>
      </w:r>
    </w:p>
    <w:p>
      <w:pPr>
        <w:pStyle w:val="SourceCode"/>
      </w:pPr>
      <w:r>
        <w:rPr>
          <w:rStyle w:val="VerbatimChar"/>
        </w:rPr>
        <w:t xml:space="preserve">{</w:t>
      </w:r>
      <w:r>
        <w:br/>
      </w:r>
      <w:r>
        <w:rPr>
          <w:rStyle w:val="VerbatimChar"/>
        </w:rPr>
        <w:t xml:space="preserve">  "cna_variant": "CNA-2.2",</w:t>
      </w:r>
      <w:r>
        <w:br/>
      </w:r>
      <w:r>
        <w:rPr>
          <w:rStyle w:val="VerbatimChar"/>
        </w:rPr>
        <w:t xml:space="preserve">  "content_scope": "...[structurally and character canonicalized HTML]...",</w:t>
      </w:r>
      <w:r>
        <w:br/>
      </w:r>
      <w:r>
        <w:rPr>
          <w:rStyle w:val="VerbatimChar"/>
        </w:rPr>
        <w:t xml:space="preserve">  "embedded_media": [{"sha2_256": "...", "sha3_256": "...", "blake3": "..."}],</w:t>
      </w:r>
      <w:r>
        <w:br/>
      </w:r>
      <w:r>
        <w:rPr>
          <w:rStyle w:val="VerbatimChar"/>
        </w:rPr>
        <w:t xml:space="preserve">  "metadata": {</w:t>
      </w:r>
      <w:r>
        <w:br/>
      </w:r>
      <w:r>
        <w:rPr>
          <w:rStyle w:val="VerbatimChar"/>
        </w:rPr>
        <w:t xml:space="preserve">    "author_ctid": "Q7ABCD-EFGHIJ-KLMNOP-QRSTUV-WXYZ23",</w:t>
      </w:r>
      <w:r>
        <w:br/>
      </w:r>
      <w:r>
        <w:rPr>
          <w:rStyle w:val="VerbatimChar"/>
        </w:rPr>
        <w:t xml:space="preserve">    "canonical_url": "https://example-publication.com/2026/06/02/article-slug",</w:t>
      </w:r>
      <w:r>
        <w:br/>
      </w:r>
      <w:r>
        <w:rPr>
          <w:rStyle w:val="VerbatimChar"/>
        </w:rPr>
        <w:t xml:space="preserve">    "language": "en",</w:t>
      </w:r>
      <w:r>
        <w:br/>
      </w:r>
      <w:r>
        <w:rPr>
          <w:rStyle w:val="VerbatimChar"/>
        </w:rPr>
        <w:t xml:space="preserve">    "origin_code": "OH",</w:t>
      </w:r>
      <w:r>
        <w:br/>
      </w:r>
      <w:r>
        <w:rPr>
          <w:rStyle w:val="VerbatimChar"/>
        </w:rPr>
        <w:t xml:space="preserve">    "platform_id": "wpref",</w:t>
      </w:r>
      <w:r>
        <w:br/>
      </w:r>
      <w:r>
        <w:rPr>
          <w:rStyle w:val="VerbatimChar"/>
        </w:rPr>
        <w:t xml:space="preserve">    "publication_date": "2026-06-02T14:30:00Z",</w:t>
      </w:r>
      <w:r>
        <w:br/>
      </w:r>
      <w:r>
        <w:rPr>
          <w:rStyle w:val="VerbatimChar"/>
        </w:rPr>
        <w:t xml:space="preserve">    "publisher_ctid": "R8MNOP-QRSTUV-WXYZ23-ABCDEF-GHIJKL",</w:t>
      </w:r>
      <w:r>
        <w:br/>
      </w:r>
      <w:r>
        <w:rPr>
          <w:rStyle w:val="VerbatimChar"/>
        </w:rPr>
        <w:t xml:space="preserve">    "title": "What the new law says about content provenance",</w:t>
      </w:r>
      <w:r>
        <w:br/>
      </w:r>
      <w:r>
        <w:rPr>
          <w:rStyle w:val="VerbatimChar"/>
        </w:rPr>
        <w:t xml:space="preserve">    "version": 1</w:t>
      </w:r>
      <w:r>
        <w:br/>
      </w:r>
      <w:r>
        <w:rPr>
          <w:rStyle w:val="VerbatimChar"/>
        </w:rPr>
        <w:t xml:space="preserve">  },</w:t>
      </w:r>
      <w:r>
        <w:br/>
      </w:r>
      <w:r>
        <w:rPr>
          <w:rStyle w:val="VerbatimChar"/>
        </w:rPr>
        <w:t xml:space="preserve">  "protocol_version": "TIP-1.0",</w:t>
      </w:r>
      <w:r>
        <w:br/>
      </w:r>
      <w:r>
        <w:rPr>
          <w:rStyle w:val="VerbatimChar"/>
        </w:rPr>
        <w:t xml:space="preserve">  "references": ["https://example-target.com/some-page?id=42"]</w:t>
      </w:r>
      <w:r>
        <w:br/>
      </w:r>
      <w:r>
        <w:rPr>
          <w:rStyle w:val="VerbatimChar"/>
        </w:rPr>
        <w:t xml:space="preserve">}</w:t>
      </w:r>
    </w:p>
    <w:p>
      <w:pPr>
        <w:pStyle w:val="FirstParagraph"/>
      </w:pPr>
      <w:r>
        <w:t xml:space="preserve">The serialization is byte-deterministic: object keys are sorted</w:t>
      </w:r>
      <w:r>
        <w:t xml:space="preserve"> </w:t>
      </w:r>
      <w:r>
        <w:t xml:space="preserve">lexicographically, numbers are encoded in canonical form, and string</w:t>
      </w:r>
      <w:r>
        <w:t xml:space="preserve"> </w:t>
      </w:r>
      <w:r>
        <w:t xml:space="preserve">values are encoded in canonical UTF-8.</w:t>
      </w:r>
    </w:p>
    <w:bookmarkEnd w:id="277"/>
    <w:bookmarkStart w:id="278" w:name="step-9-three-hash-addressing-1"/>
    <w:p>
      <w:pPr>
        <w:pStyle w:val="Heading3"/>
      </w:pPr>
      <w:r>
        <w:t xml:space="preserve">Step 9: Three-hash addressing</w:t>
      </w:r>
    </w:p>
    <w:p>
      <w:pPr>
        <w:pStyle w:val="FirstParagraph"/>
      </w:pPr>
      <w:r>
        <w:t xml:space="preserve">The serialized canonical byte sequence is the input to the three-hash</w:t>
      </w:r>
      <w:r>
        <w:t xml:space="preserve"> </w:t>
      </w:r>
      <w:r>
        <w:t xml:space="preserve">addressing system:</w:t>
      </w:r>
    </w:p>
    <w:p>
      <w:pPr>
        <w:pStyle w:val="SourceCode"/>
      </w:pPr>
      <w:r>
        <w:rPr>
          <w:rStyle w:val="VerbatimChar"/>
        </w:rPr>
        <w:t xml:space="preserve">{</w:t>
      </w:r>
      <w:r>
        <w:br/>
      </w:r>
      <w:r>
        <w:rPr>
          <w:rStyle w:val="VerbatimChar"/>
        </w:rPr>
        <w:t xml:space="preserve">  "sha2_256": "8f3c2a1b...",</w:t>
      </w:r>
      <w:r>
        <w:br/>
      </w:r>
      <w:r>
        <w:rPr>
          <w:rStyle w:val="VerbatimChar"/>
        </w:rPr>
        <w:t xml:space="preserve">  "sha3_256": "7e4d3b2a...",</w:t>
      </w:r>
      <w:r>
        <w:br/>
      </w:r>
      <w:r>
        <w:rPr>
          <w:rStyle w:val="VerbatimChar"/>
        </w:rPr>
        <w:t xml:space="preserve">  "blake3":   "9a6b5c4d..."</w:t>
      </w:r>
      <w:r>
        <w:br/>
      </w:r>
      <w:r>
        <w:rPr>
          <w:rStyle w:val="VerbatimChar"/>
        </w:rPr>
        <w:t xml:space="preserve">}</w:t>
      </w:r>
    </w:p>
    <w:p>
      <w:pPr>
        <w:pStyle w:val="FirstParagraph"/>
      </w:pPr>
      <w:r>
        <w:t xml:space="preserve">The three-hash content identifier is the principal artifact recorded</w:t>
      </w:r>
      <w:r>
        <w:t xml:space="preserve"> </w:t>
      </w:r>
      <w:r>
        <w:t xml:space="preserve">in the TIP-CONTENT record.</w:t>
      </w:r>
    </w:p>
    <w:bookmarkEnd w:id="278"/>
    <w:bookmarkEnd w:id="279"/>
    <w:bookmarkStart w:id="280" w:name="c.3-verification-at-the-reader"/>
    <w:p>
      <w:pPr>
        <w:pStyle w:val="Heading2"/>
      </w:pPr>
      <w:r>
        <w:t xml:space="preserve">C.3 Verification at the reader</w:t>
      </w:r>
    </w:p>
    <w:p>
      <w:pPr>
        <w:pStyle w:val="FirstParagraph"/>
      </w:pPr>
      <w:r>
        <w:t xml:space="preserve">A reader receiving the canonical URL of the article retrieves the</w:t>
      </w:r>
      <w:r>
        <w:t xml:space="preserve"> </w:t>
      </w:r>
      <w:r>
        <w:t xml:space="preserve">article, applies the same nine-step CNA-2.2 procedure, computes the</w:t>
      </w:r>
      <w:r>
        <w:t xml:space="preserve"> </w:t>
      </w:r>
      <w:r>
        <w:t xml:space="preserve">three-hash content identifier, retrieves the TIP-CONTENT record from the</w:t>
      </w:r>
      <w:r>
        <w:t xml:space="preserve"> </w:t>
      </w:r>
      <w:r>
        <w:t xml:space="preserve">federation by content identifier, verifies the publisher’s signature on</w:t>
      </w:r>
      <w:r>
        <w:t xml:space="preserve"> </w:t>
      </w:r>
      <w:r>
        <w:t xml:space="preserve">the TIP-CONTENT record using the publisher’s public key from the</w:t>
      </w:r>
      <w:r>
        <w:t xml:space="preserve"> </w:t>
      </w:r>
      <w:r>
        <w:t xml:space="preserve">Verification Provider Registry, and presents the Trust Score and the</w:t>
      </w:r>
      <w:r>
        <w:t xml:space="preserve"> </w:t>
      </w:r>
      <w:r>
        <w:t xml:space="preserve">Global Seal of Trust associated with the publisher’s CTID through the</w:t>
      </w:r>
      <w:r>
        <w:t xml:space="preserve"> </w:t>
      </w:r>
      <w:r>
        <w:t xml:space="preserve">reader-facing badge described in Part VI Section 6.7.</w:t>
      </w:r>
    </w:p>
    <w:bookmarkEnd w:id="280"/>
    <w:bookmarkStart w:id="281" w:name="c.4-verifiability-across-surfaces"/>
    <w:p>
      <w:pPr>
        <w:pStyle w:val="Heading2"/>
      </w:pPr>
      <w:r>
        <w:t xml:space="preserve">C.4 Verifiability across surfaces</w:t>
      </w:r>
    </w:p>
    <w:p>
      <w:pPr>
        <w:pStyle w:val="FirstParagraph"/>
      </w:pPr>
      <w:r>
        <w:t xml:space="preserve">A reader retrieving the same article through a different surface (a</w:t>
      </w:r>
      <w:r>
        <w:t xml:space="preserve"> </w:t>
      </w:r>
      <w:r>
        <w:t xml:space="preserve">syndication republisher, a search engine cache, a social platform’s</w:t>
      </w:r>
      <w:r>
        <w:t xml:space="preserve"> </w:t>
      </w:r>
      <w:r>
        <w:t xml:space="preserve">preview) applies the same CNA-2.2 procedure. The deterministic Steps 1</w:t>
      </w:r>
      <w:r>
        <w:t xml:space="preserve"> </w:t>
      </w:r>
      <w:r>
        <w:t xml:space="preserve">through 9 produce the same content identifier, recovering the same</w:t>
      </w:r>
      <w:r>
        <w:t xml:space="preserve"> </w:t>
      </w:r>
      <w:r>
        <w:t xml:space="preserve">TIP-CONTENT record from the federation. The verifiability is independent</w:t>
      </w:r>
      <w:r>
        <w:t xml:space="preserve"> </w:t>
      </w:r>
      <w:r>
        <w:t xml:space="preserve">of the surface on which the content is encountered.</w:t>
      </w:r>
    </w:p>
    <w:bookmarkEnd w:id="281"/>
    <w:bookmarkStart w:id="282" w:name="c.5-failure-mode-modified-content"/>
    <w:p>
      <w:pPr>
        <w:pStyle w:val="Heading2"/>
      </w:pPr>
      <w:r>
        <w:t xml:space="preserve">C.5 Failure mode, modified content</w:t>
      </w:r>
    </w:p>
    <w:p>
      <w:pPr>
        <w:pStyle w:val="FirstParagraph"/>
      </w:pPr>
      <w:r>
        <w:t xml:space="preserve">If the content is modified (a substantive edit) without the signer</w:t>
      </w:r>
      <w:r>
        <w:t xml:space="preserve"> </w:t>
      </w:r>
      <w:r>
        <w:t xml:space="preserve">publishing a CONTENT_UPDATED event, the reader’s CNA-2.2 procedure</w:t>
      </w:r>
      <w:r>
        <w:t xml:space="preserve"> </w:t>
      </w:r>
      <w:r>
        <w:t xml:space="preserve">produces a content identifier that does not match the TIP-CONTENT record</w:t>
      </w:r>
      <w:r>
        <w:t xml:space="preserve"> </w:t>
      </w:r>
      <w:r>
        <w:t xml:space="preserve">on the federation. The reader-facing badge displays a verification</w:t>
      </w:r>
      <w:r>
        <w:t xml:space="preserve"> </w:t>
      </w:r>
      <w:r>
        <w:t xml:space="preserve">failure indicator. The reader is notified that the content is not bound</w:t>
      </w:r>
      <w:r>
        <w:t xml:space="preserve"> </w:t>
      </w:r>
      <w:r>
        <w:t xml:space="preserve">to the publisher’s signature.</w:t>
      </w:r>
    </w:p>
    <w:bookmarkEnd w:id="282"/>
    <w:bookmarkStart w:id="283" w:name="c.6-failure-mode-revoked-ctid"/>
    <w:p>
      <w:pPr>
        <w:pStyle w:val="Heading2"/>
      </w:pPr>
      <w:r>
        <w:t xml:space="preserve">C.6 Failure mode, revoked CTID</w:t>
      </w:r>
    </w:p>
    <w:p>
      <w:pPr>
        <w:pStyle w:val="FirstParagraph"/>
      </w:pPr>
      <w:r>
        <w:t xml:space="preserve">If the publisher’s or author’s CTID is revoked (a B3, B5, or B6</w:t>
      </w:r>
      <w:r>
        <w:t xml:space="preserve"> </w:t>
      </w:r>
      <w:r>
        <w:t xml:space="preserve">Blocking Item activation), the reader-facing badge displays the</w:t>
      </w:r>
      <w:r>
        <w:t xml:space="preserve"> </w:t>
      </w:r>
      <w:r>
        <w:t xml:space="preserve">applicable Blocking Item, even where the content identifier matches. The</w:t>
      </w:r>
      <w:r>
        <w:t xml:space="preserve"> </w:t>
      </w:r>
      <w:r>
        <w:t xml:space="preserve">reader is notified that the CTID under which the content was signed is</w:t>
      </w:r>
      <w:r>
        <w:t xml:space="preserve"> </w:t>
      </w:r>
      <w:r>
        <w:t xml:space="preserve">no longer in the Verified class.</w:t>
      </w:r>
    </w:p>
    <w:bookmarkEnd w:id="283"/>
    <w:bookmarkEnd w:id="284"/>
    <w:bookmarkStart w:id="293" w:name="X965b481619ba4be250ecfa15aebd0157d2050db"/>
    <w:p>
      <w:pPr>
        <w:pStyle w:val="Heading1"/>
      </w:pPr>
      <w:r>
        <w:t xml:space="preserve">Appendix D: End-to-End Identity Issuance, Signing, and Verification Example</w:t>
      </w:r>
    </w:p>
    <w:p>
      <w:pPr>
        <w:pStyle w:val="FirstParagraph"/>
      </w:pPr>
      <w:r>
        <w:t xml:space="preserve">This Appendix supplies a worked example of the end-to-end identity</w:t>
      </w:r>
      <w:r>
        <w:t xml:space="preserve"> </w:t>
      </w:r>
      <w:r>
        <w:t xml:space="preserve">issuance, content signing, and reader-side verification flow of the</w:t>
      </w:r>
      <w:r>
        <w:t xml:space="preserve"> </w:t>
      </w:r>
      <w:r>
        <w:t xml:space="preserve">Trust Identity Protocol. The example illustrates the interaction of the</w:t>
      </w:r>
      <w:r>
        <w:t xml:space="preserve"> </w:t>
      </w:r>
      <w:r>
        <w:t xml:space="preserve">layers described in Parts III, IV, V, and VI. Test vectors corresponding</w:t>
      </w:r>
      <w:r>
        <w:t xml:space="preserve"> </w:t>
      </w:r>
      <w:r>
        <w:t xml:space="preserve">to this example are published in the canonical TIP Protocol</w:t>
      </w:r>
      <w:r>
        <w:t xml:space="preserve"> </w:t>
      </w:r>
      <w:r>
        <w:t xml:space="preserve">Specification.</w:t>
      </w:r>
    </w:p>
    <w:bookmarkStart w:id="285" w:name="d.1-scenario"/>
    <w:p>
      <w:pPr>
        <w:pStyle w:val="Heading2"/>
      </w:pPr>
      <w:r>
        <w:t xml:space="preserve">D.1 Scenario</w:t>
      </w:r>
    </w:p>
    <w:p>
      <w:pPr>
        <w:pStyle w:val="FirstParagraph"/>
      </w:pPr>
      <w:r>
        <w:t xml:space="preserve">A natural person, identified by the pseudonym “Sample Journalist,”</w:t>
      </w:r>
      <w:r>
        <w:t xml:space="preserve"> </w:t>
      </w:r>
      <w:r>
        <w:t xml:space="preserve">obtains a Creator Mode CTID from a Verification Provider in New Zealand,</w:t>
      </w:r>
      <w:r>
        <w:t xml:space="preserve"> </w:t>
      </w:r>
      <w:r>
        <w:t xml:space="preserve">signs a journalistic article, publishes the signed article on a personal</w:t>
      </w:r>
      <w:r>
        <w:t xml:space="preserve"> </w:t>
      </w:r>
      <w:r>
        <w:t xml:space="preserve">publishing site, and a reader in the European Union verifies the signed</w:t>
      </w:r>
      <w:r>
        <w:t xml:space="preserve"> </w:t>
      </w:r>
      <w:r>
        <w:t xml:space="preserve">article and its associated Trust Score.</w:t>
      </w:r>
    </w:p>
    <w:bookmarkEnd w:id="285"/>
    <w:bookmarkStart w:id="286" w:name="d.2-step-1-identity-issuance"/>
    <w:p>
      <w:pPr>
        <w:pStyle w:val="Heading2"/>
      </w:pPr>
      <w:r>
        <w:t xml:space="preserve">D.2 Step 1: Identity issuance</w:t>
      </w:r>
    </w:p>
    <w:p>
      <w:pPr>
        <w:pStyle w:val="FirstParagraph"/>
      </w:pPr>
      <w:r>
        <w:t xml:space="preserve">Sample Journalist navigates to the public application page of the New</w:t>
      </w:r>
      <w:r>
        <w:t xml:space="preserve"> </w:t>
      </w:r>
      <w:r>
        <w:t xml:space="preserve">Zealand Verification Provider. The application page is operated by the</w:t>
      </w:r>
      <w:r>
        <w:t xml:space="preserve"> </w:t>
      </w:r>
      <w:r>
        <w:t xml:space="preserve">Verification Provider under the Accreditation Schedule published in the</w:t>
      </w:r>
      <w:r>
        <w:t xml:space="preserve"> </w:t>
      </w:r>
      <w:r>
        <w:t xml:space="preserve">Verification Provider Registry.</w:t>
      </w:r>
    </w:p>
    <w:p>
      <w:pPr>
        <w:pStyle w:val="BodyText"/>
      </w:pPr>
      <w:r>
        <w:t xml:space="preserve">Sample Journalist undertakes the identity verification appropriate to</w:t>
      </w:r>
      <w:r>
        <w:t xml:space="preserve"> </w:t>
      </w:r>
      <w:r>
        <w:t xml:space="preserve">the requested CTID grade. For an enhanced CTID, the verification</w:t>
      </w:r>
      <w:r>
        <w:t xml:space="preserve"> </w:t>
      </w:r>
      <w:r>
        <w:t xml:space="preserve">comprises: (a) the submission of a government-issued identity document;</w:t>
      </w:r>
      <w:r>
        <w:t xml:space="preserve"> </w:t>
      </w:r>
      <w:r>
        <w:t xml:space="preserve">(b) a liveness check performed by the Verification Provider’s identity</w:t>
      </w:r>
      <w:r>
        <w:t xml:space="preserve"> </w:t>
      </w:r>
      <w:r>
        <w:t xml:space="preserve">verification software through the device’s camera; (c) the verification</w:t>
      </w:r>
      <w:r>
        <w:t xml:space="preserve"> </w:t>
      </w:r>
      <w:r>
        <w:t xml:space="preserve">of an email address and a mobile telephone number; (d) the acceptance of</w:t>
      </w:r>
      <w:r>
        <w:t xml:space="preserve"> </w:t>
      </w:r>
      <w:r>
        <w:t xml:space="preserve">the Verification Provider’s data protection notice.</w:t>
      </w:r>
    </w:p>
    <w:p>
      <w:pPr>
        <w:pStyle w:val="BodyText"/>
      </w:pPr>
      <w:r>
        <w:t xml:space="preserve">On successful verification, the Verification Provider instructs</w:t>
      </w:r>
      <w:r>
        <w:t xml:space="preserve"> </w:t>
      </w:r>
      <w:r>
        <w:t xml:space="preserve">Sample Journalist’s browser to invoke the device’s WebAuthn resident key</w:t>
      </w:r>
      <w:r>
        <w:t xml:space="preserve"> </w:t>
      </w:r>
      <w:r>
        <w:t xml:space="preserve">authenticator. The authenticator generates a keypair, retaining the</w:t>
      </w:r>
      <w:r>
        <w:t xml:space="preserve"> </w:t>
      </w:r>
      <w:r>
        <w:t xml:space="preserve">private key within the authenticator’s hardware security boundary, and</w:t>
      </w:r>
      <w:r>
        <w:t xml:space="preserve"> </w:t>
      </w:r>
      <w:r>
        <w:t xml:space="preserve">returns the public key. The Verification Provider receives the public</w:t>
      </w:r>
      <w:r>
        <w:t xml:space="preserve"> </w:t>
      </w:r>
      <w:r>
        <w:t xml:space="preserve">key and the attestation that the authenticator has verified Sample</w:t>
      </w:r>
      <w:r>
        <w:t xml:space="preserve"> </w:t>
      </w:r>
      <w:r>
        <w:t xml:space="preserve">Journalist.</w:t>
      </w:r>
    </w:p>
    <w:p>
      <w:pPr>
        <w:pStyle w:val="BodyText"/>
      </w:pPr>
      <w:r>
        <w:t xml:space="preserve">The Verification Provider computes the CTID:</w:t>
      </w:r>
    </w:p>
    <w:p>
      <w:pPr>
        <w:pStyle w:val="SourceCode"/>
      </w:pPr>
      <w:r>
        <w:rPr>
          <w:rStyle w:val="VerbatimChar"/>
        </w:rPr>
        <w:t xml:space="preserve">CTID = BLAKE3("TIP-CTID-v1" || version || vp_id || pub_key) [first 30 bytes]</w:t>
      </w:r>
      <w:r>
        <w:br/>
      </w:r>
      <w:r>
        <w:rPr>
          <w:rStyle w:val="VerbatimChar"/>
        </w:rPr>
        <w:t xml:space="preserve">     = "Q7ABCD-EFGHIJ-KLMNOP-QRSTUV-WXYZ23"</w:t>
      </w:r>
      <w:r>
        <w:br/>
      </w:r>
      <w:r>
        <w:rPr>
          <w:rStyle w:val="VerbatimChar"/>
        </w:rPr>
        <w:t xml:space="preserve">     (illustrative; the actual CTID depends on the actual public key)</w:t>
      </w:r>
    </w:p>
    <w:p>
      <w:pPr>
        <w:pStyle w:val="FirstParagraph"/>
      </w:pPr>
      <w:r>
        <w:t xml:space="preserve">The Verification Provider publishes the CTID issuance event to the</w:t>
      </w:r>
      <w:r>
        <w:t xml:space="preserve"> </w:t>
      </w:r>
      <w:r>
        <w:t xml:space="preserve">federated DAG and signs the event with the Verification Provider’s</w:t>
      </w:r>
      <w:r>
        <w:t xml:space="preserve"> </w:t>
      </w:r>
      <w:r>
        <w:t xml:space="preserve">ML-DSA-65 private key. The event includes the CTID, the public key of</w:t>
      </w:r>
      <w:r>
        <w:t xml:space="preserve"> </w:t>
      </w:r>
      <w:r>
        <w:t xml:space="preserve">Sample Journalist’s authenticator, the issuance timestamp, the CTID</w:t>
      </w:r>
      <w:r>
        <w:t xml:space="preserve"> </w:t>
      </w:r>
      <w:r>
        <w:t xml:space="preserve">grade (enhanced), and the Verification Provider’s identifier in the</w:t>
      </w:r>
      <w:r>
        <w:t xml:space="preserve"> </w:t>
      </w:r>
      <w:r>
        <w:t xml:space="preserve">Verification Provider Registry. The Verification Provider also records</w:t>
      </w:r>
      <w:r>
        <w:t xml:space="preserve"> </w:t>
      </w:r>
      <w:r>
        <w:t xml:space="preserve">the mapping between the CTID and Sample Journalist’s real-world identity</w:t>
      </w:r>
      <w:r>
        <w:t xml:space="preserve"> </w:t>
      </w:r>
      <w:r>
        <w:t xml:space="preserve">in the Verification Provider’s secure data store under the New Zealand</w:t>
      </w:r>
      <w:r>
        <w:t xml:space="preserve"> </w:t>
      </w:r>
      <w:r>
        <w:t xml:space="preserve">Privacy Act 2020.</w:t>
      </w:r>
    </w:p>
    <w:p>
      <w:pPr>
        <w:pStyle w:val="BodyText"/>
      </w:pPr>
      <w:r>
        <w:t xml:space="preserve">Sample Journalist is presented with the CTID and is instructed to</w:t>
      </w:r>
      <w:r>
        <w:t xml:space="preserve"> </w:t>
      </w:r>
      <w:r>
        <w:t xml:space="preserve">record it.</w:t>
      </w:r>
    </w:p>
    <w:bookmarkEnd w:id="286"/>
    <w:bookmarkStart w:id="287" w:name="X4f5cd7493a592f637b37c1b39593626d62dfd7a"/>
    <w:p>
      <w:pPr>
        <w:pStyle w:val="Heading2"/>
      </w:pPr>
      <w:r>
        <w:t xml:space="preserve">D.3 Step 2: Initial Trust Score computation</w:t>
      </w:r>
    </w:p>
    <w:p>
      <w:pPr>
        <w:pStyle w:val="FirstParagraph"/>
      </w:pPr>
      <w:r>
        <w:t xml:space="preserve">The federated DAG records the CTID issuance event. Each Full Node</w:t>
      </w:r>
      <w:r>
        <w:t xml:space="preserve"> </w:t>
      </w:r>
      <w:r>
        <w:t xml:space="preserve">receiving the event computes the initial Trust Score: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Sub-score</w:t>
            </w:r>
          </w:p>
        </w:tc>
        <w:tc>
          <w:tcPr/>
          <w:p>
            <w:pPr>
              <w:pStyle w:val="Compact"/>
            </w:pPr>
            <w:r>
              <w:t xml:space="preserve">Value</w:t>
            </w:r>
          </w:p>
        </w:tc>
        <w:tc>
          <w:tcPr/>
          <w:p>
            <w:pPr>
              <w:pStyle w:val="Compact"/>
            </w:pPr>
            <w:r>
              <w:t xml:space="preserve">Notes</w:t>
            </w:r>
          </w:p>
        </w:tc>
      </w:tr>
      <w:tr>
        <w:tc>
          <w:tcPr/>
          <w:p>
            <w:pPr>
              <w:pStyle w:val="Compact"/>
            </w:pPr>
            <w:r>
              <w:t xml:space="preserve">Cryptographic</w:t>
            </w:r>
          </w:p>
        </w:tc>
        <w:tc>
          <w:tcPr/>
          <w:p>
            <w:pPr>
              <w:pStyle w:val="Compact"/>
            </w:pPr>
            <w:r>
              <w:t xml:space="preserve">1000</w:t>
            </w:r>
          </w:p>
        </w:tc>
        <w:tc>
          <w:tcPr/>
          <w:p>
            <w:pPr>
              <w:pStyle w:val="Compact"/>
            </w:pPr>
            <w:r>
              <w:t xml:space="preserve">ML-DSA-65 native authenticator</w:t>
            </w:r>
          </w:p>
        </w:tc>
      </w:tr>
      <w:tr>
        <w:tc>
          <w:tcPr/>
          <w:p>
            <w:pPr>
              <w:pStyle w:val="Compact"/>
            </w:pPr>
            <w:r>
              <w:t xml:space="preserve">Behavioral</w:t>
            </w:r>
          </w:p>
        </w:tc>
        <w:tc>
          <w:tcPr/>
          <w:p>
            <w:pPr>
              <w:pStyle w:val="Compact"/>
            </w:pPr>
            <w:r>
              <w:t xml:space="preserve">500</w:t>
            </w:r>
          </w:p>
        </w:tc>
        <w:tc>
          <w:tcPr/>
          <w:p>
            <w:pPr>
              <w:pStyle w:val="Compact"/>
            </w:pPr>
            <w:r>
              <w:t xml:space="preserve">New CTID, no history</w:t>
            </w:r>
          </w:p>
        </w:tc>
      </w:tr>
      <w:tr>
        <w:tc>
          <w:tcPr/>
          <w:p>
            <w:pPr>
              <w:pStyle w:val="Compact"/>
            </w:pPr>
            <w:r>
              <w:t xml:space="preserve">Adjudicated</w:t>
            </w:r>
          </w:p>
        </w:tc>
        <w:tc>
          <w:tcPr/>
          <w:p>
            <w:pPr>
              <w:pStyle w:val="Compact"/>
            </w:pPr>
            <w:r>
              <w:t xml:space="preserve">1000</w:t>
            </w:r>
          </w:p>
        </w:tc>
        <w:tc>
          <w:tcPr/>
          <w:p>
            <w:pPr>
              <w:pStyle w:val="Compact"/>
            </w:pPr>
            <w:r>
              <w:t xml:space="preserve">No adverse adjudications</w:t>
            </w:r>
          </w:p>
        </w:tc>
      </w:tr>
      <w:tr>
        <w:tc>
          <w:tcPr/>
          <w:p>
            <w:pPr>
              <w:pStyle w:val="Compact"/>
            </w:pPr>
            <w:r>
              <w:t xml:space="preserve">Network</w:t>
            </w:r>
          </w:p>
        </w:tc>
        <w:tc>
          <w:tcPr/>
          <w:p>
            <w:pPr>
              <w:pStyle w:val="Compact"/>
            </w:pPr>
            <w:r>
              <w:t xml:space="preserve">850</w:t>
            </w:r>
          </w:p>
        </w:tc>
        <w:tc>
          <w:tcPr/>
          <w:p>
            <w:pPr>
              <w:pStyle w:val="Compact"/>
            </w:pPr>
            <w:r>
              <w:t xml:space="preserve">High-assurance Verification Provider in good standing; enhanced</w:t>
            </w:r>
          </w:p>
        </w:tc>
      </w:tr>
      <w:tr>
        <w:tc>
          <w:tcPr/>
          <w:p>
            <w:pPr>
              <w:pStyle w:val="Compact"/>
            </w:pPr>
            <w:r>
              <w:t xml:space="preserve">CTID</w:t>
            </w:r>
          </w:p>
        </w:tc>
        <w:tc>
          <w:tcPr/>
          <w:p>
            <w:pPr>
              <w:pStyle w:val="Compact"/>
            </w:pPr>
          </w:p>
        </w:tc>
        <w:tc>
          <w:tcPr/>
          <w:p>
            <w:pPr>
              <w:pStyle w:val="Compact"/>
            </w:pPr>
          </w:p>
        </w:tc>
      </w:tr>
      <w:tr>
        <w:tc>
          <w:tcPr/>
          <w:p>
            <w:pPr>
              <w:pStyle w:val="Compact"/>
            </w:pPr>
            <w:r>
              <w:t xml:space="preserve">grade</w:t>
            </w:r>
          </w:p>
        </w:tc>
        <w:tc>
          <w:tcPr/>
          <w:p>
            <w:pPr>
              <w:pStyle w:val="Compact"/>
            </w:pPr>
          </w:p>
        </w:tc>
        <w:tc>
          <w:tcPr/>
          <w:p>
            <w:pPr>
              <w:pStyle w:val="Compact"/>
            </w:pPr>
          </w:p>
        </w:tc>
      </w:tr>
      <w:tr>
        <w:tc>
          <w:tcPr/>
          <w:p>
            <w:pPr>
              <w:pStyle w:val="Compact"/>
            </w:pPr>
            <w:r>
              <w:rPr>
                <w:b/>
                <w:bCs/>
              </w:rPr>
              <w:t xml:space="preserve">Aggregate (weighted)</w:t>
            </w:r>
          </w:p>
        </w:tc>
        <w:tc>
          <w:tcPr/>
          <w:p>
            <w:pPr>
              <w:pStyle w:val="Compact"/>
            </w:pPr>
            <w:r>
              <w:rPr>
                <w:b/>
                <w:bCs/>
              </w:rPr>
              <w:t xml:space="preserve">825</w:t>
            </w:r>
          </w:p>
        </w:tc>
        <w:tc>
          <w:tcPr/>
          <w:p>
            <w:pPr>
              <w:pStyle w:val="Compact"/>
            </w:pPr>
            <w:r>
              <w:t xml:space="preserve">(1000 × 0.2) + (500 × 0.3) + (1000 × 0.3) + (850 × 0.2) = 825</w:t>
            </w:r>
          </w:p>
        </w:tc>
      </w:tr>
    </w:tbl>
    <w:p>
      <w:pPr>
        <w:pStyle w:val="BodyText"/>
      </w:pPr>
      <w:r>
        <w:t xml:space="preserve">The aggregate Trust Score of 825 places the CTID in the Verified</w:t>
      </w:r>
      <w:r>
        <w:t xml:space="preserve"> </w:t>
      </w:r>
      <w:r>
        <w:t xml:space="preserve">class (700 to 1000).</w:t>
      </w:r>
    </w:p>
    <w:bookmarkEnd w:id="287"/>
    <w:bookmarkStart w:id="288" w:name="d.4-step-3-content-signing"/>
    <w:p>
      <w:pPr>
        <w:pStyle w:val="Heading2"/>
      </w:pPr>
      <w:r>
        <w:t xml:space="preserve">D.4 Step 3: Content signing</w:t>
      </w:r>
    </w:p>
    <w:p>
      <w:pPr>
        <w:pStyle w:val="FirstParagraph"/>
      </w:pPr>
      <w:r>
        <w:t xml:space="preserve">Sample Journalist authors a journalistic article on a personal</w:t>
      </w:r>
      <w:r>
        <w:t xml:space="preserve"> </w:t>
      </w:r>
      <w:r>
        <w:t xml:space="preserve">publishing site. The article is composed using the publishing site’s</w:t>
      </w:r>
      <w:r>
        <w:t xml:space="preserve"> </w:t>
      </w:r>
      <w:r>
        <w:t xml:space="preserve">editor. On the article being ready for publication, Sample Journalist</w:t>
      </w:r>
      <w:r>
        <w:t xml:space="preserve"> </w:t>
      </w:r>
      <w:r>
        <w:t xml:space="preserve">invokes the Trust Identity Protocol browser extension on the editor</w:t>
      </w:r>
      <w:r>
        <w:t xml:space="preserve"> </w:t>
      </w:r>
      <w:r>
        <w:t xml:space="preserve">page.</w:t>
      </w:r>
    </w:p>
    <w:p>
      <w:pPr>
        <w:pStyle w:val="BodyText"/>
      </w:pPr>
      <w:r>
        <w:t xml:space="preserve">The browser extension applies the CNA-2.2 normalization to the</w:t>
      </w:r>
      <w:r>
        <w:t xml:space="preserve"> </w:t>
      </w:r>
      <w:r>
        <w:t xml:space="preserve">article (the nine-step procedure described in Part V Section 5.2 and</w:t>
      </w:r>
      <w:r>
        <w:t xml:space="preserve"> </w:t>
      </w:r>
      <w:r>
        <w:t xml:space="preserve">worked through in Appendix C). The output is the three-hash content</w:t>
      </w:r>
      <w:r>
        <w:t xml:space="preserve"> </w:t>
      </w:r>
      <w:r>
        <w:t xml:space="preserve">identifier:</w:t>
      </w:r>
    </w:p>
    <w:p>
      <w:pPr>
        <w:pStyle w:val="SourceCode"/>
      </w:pPr>
      <w:r>
        <w:rPr>
          <w:rStyle w:val="VerbatimChar"/>
        </w:rPr>
        <w:t xml:space="preserve">Content identifier: {</w:t>
      </w:r>
      <w:r>
        <w:br/>
      </w:r>
      <w:r>
        <w:rPr>
          <w:rStyle w:val="VerbatimChar"/>
        </w:rPr>
        <w:t xml:space="preserve">  "sha2_256": "8f3c2a1b...",</w:t>
      </w:r>
      <w:r>
        <w:br/>
      </w:r>
      <w:r>
        <w:rPr>
          <w:rStyle w:val="VerbatimChar"/>
        </w:rPr>
        <w:t xml:space="preserve">  "sha3_256": "7e4d3b2a...",</w:t>
      </w:r>
      <w:r>
        <w:br/>
      </w:r>
      <w:r>
        <w:rPr>
          <w:rStyle w:val="VerbatimChar"/>
        </w:rPr>
        <w:t xml:space="preserve">  "blake3":   "9a6b5c4d..."</w:t>
      </w:r>
      <w:r>
        <w:br/>
      </w:r>
      <w:r>
        <w:rPr>
          <w:rStyle w:val="VerbatimChar"/>
        </w:rPr>
        <w:t xml:space="preserve">}</w:t>
      </w:r>
    </w:p>
    <w:p>
      <w:pPr>
        <w:pStyle w:val="FirstParagraph"/>
      </w:pPr>
      <w:r>
        <w:t xml:space="preserve">The browser extension presents the content identifier to Sample</w:t>
      </w:r>
      <w:r>
        <w:t xml:space="preserve"> </w:t>
      </w:r>
      <w:r>
        <w:t xml:space="preserve">Journalist and asks for confirmation. Sample Journalist confirms.</w:t>
      </w:r>
    </w:p>
    <w:p>
      <w:pPr>
        <w:pStyle w:val="BodyText"/>
      </w:pPr>
      <w:r>
        <w:t xml:space="preserve">The browser extension invokes Sample Journalist’s WebAuthn</w:t>
      </w:r>
      <w:r>
        <w:t xml:space="preserve"> </w:t>
      </w:r>
      <w:r>
        <w:t xml:space="preserve">authenticator. The authenticator prompts Sample Journalist for user</w:t>
      </w:r>
      <w:r>
        <w:t xml:space="preserve"> </w:t>
      </w:r>
      <w:r>
        <w:t xml:space="preserve">verification (a biometric gesture in this example, since Sample</w:t>
      </w:r>
      <w:r>
        <w:t xml:space="preserve"> </w:t>
      </w:r>
      <w:r>
        <w:t xml:space="preserve">Journalist enabled biometric user verification at issuance). The</w:t>
      </w:r>
      <w:r>
        <w:t xml:space="preserve"> </w:t>
      </w:r>
      <w:r>
        <w:t xml:space="preserve">authenticator verifies the biometric on the device and produces an</w:t>
      </w:r>
      <w:r>
        <w:t xml:space="preserve"> </w:t>
      </w:r>
      <w:r>
        <w:t xml:space="preserve">ML-DSA-65 signature of the TIP-CONTENT record header plus body.</w:t>
      </w:r>
    </w:p>
    <w:p>
      <w:pPr>
        <w:pStyle w:val="BodyText"/>
      </w:pPr>
      <w:r>
        <w:t xml:space="preserve">The signed TIP-CONTENT record contains the header (protocol version,</w:t>
      </w:r>
      <w:r>
        <w:t xml:space="preserve"> </w:t>
      </w:r>
      <w:r>
        <w:t xml:space="preserve">CNA variant, signature scheme, CTID, Origin Code</w:t>
      </w:r>
      <w:r>
        <w:t xml:space="preserve"> </w:t>
      </w:r>
      <w:r>
        <w:rPr>
          <w:rStyle w:val="VerbatimChar"/>
        </w:rPr>
        <w:t xml:space="preserve">OH</w:t>
      </w:r>
      <w:r>
        <w:t xml:space="preserve">), the</w:t>
      </w:r>
      <w:r>
        <w:t xml:space="preserve"> </w:t>
      </w:r>
      <w:r>
        <w:t xml:space="preserve">body (three-hash content identifier, canonical URL, platform identifier,</w:t>
      </w:r>
      <w:r>
        <w:t xml:space="preserve"> </w:t>
      </w:r>
      <w:r>
        <w:t xml:space="preserve">metadata), and the signature.</w:t>
      </w:r>
    </w:p>
    <w:p>
      <w:pPr>
        <w:pStyle w:val="BodyText"/>
      </w:pPr>
      <w:r>
        <w:t xml:space="preserve">The browser extension publishes the signed TIP-CONTENT record to a</w:t>
      </w:r>
      <w:r>
        <w:t xml:space="preserve"> </w:t>
      </w:r>
      <w:r>
        <w:t xml:space="preserve">Full Node selected from the Verification Provider Registry. The</w:t>
      </w:r>
      <w:r>
        <w:t xml:space="preserve"> </w:t>
      </w:r>
      <w:r>
        <w:t xml:space="preserve">publishing Full Node accepts the record, verifies the signature,</w:t>
      </w:r>
      <w:r>
        <w:t xml:space="preserve"> </w:t>
      </w:r>
      <w:r>
        <w:t xml:space="preserve">propagates the record to peer Full Nodes through the synchronization</w:t>
      </w:r>
      <w:r>
        <w:t xml:space="preserve"> </w:t>
      </w:r>
      <w:r>
        <w:t xml:space="preserve">protocol described in Part VII Section 7.4, and the publishing operation</w:t>
      </w:r>
      <w:r>
        <w:t xml:space="preserve"> </w:t>
      </w:r>
      <w:r>
        <w:t xml:space="preserve">completes.</w:t>
      </w:r>
    </w:p>
    <w:bookmarkEnd w:id="288"/>
    <w:bookmarkStart w:id="289" w:name="d.5-step-4-reader-side-verification"/>
    <w:p>
      <w:pPr>
        <w:pStyle w:val="Heading2"/>
      </w:pPr>
      <w:r>
        <w:t xml:space="preserve">D.5 Step 4: Reader-side verification</w:t>
      </w:r>
    </w:p>
    <w:p>
      <w:pPr>
        <w:pStyle w:val="FirstParagraph"/>
      </w:pPr>
      <w:r>
        <w:t xml:space="preserve">A reader in the European Union encounters the article through a</w:t>
      </w:r>
      <w:r>
        <w:t xml:space="preserve"> </w:t>
      </w:r>
      <w:r>
        <w:t xml:space="preserve">search engine result. The reader’s browser, with the Trust Identity</w:t>
      </w:r>
      <w:r>
        <w:t xml:space="preserve"> </w:t>
      </w:r>
      <w:r>
        <w:t xml:space="preserve">Protocol browser extension installed, retrieves the article.</w:t>
      </w:r>
    </w:p>
    <w:p>
      <w:pPr>
        <w:pStyle w:val="BodyText"/>
      </w:pPr>
      <w:r>
        <w:t xml:space="preserve">The browser extension applies CNA-2.2 to the article content and</w:t>
      </w:r>
      <w:r>
        <w:t xml:space="preserve"> </w:t>
      </w:r>
      <w:r>
        <w:t xml:space="preserve">computes the three-hash content identifier. The extension queries a Full</w:t>
      </w:r>
      <w:r>
        <w:t xml:space="preserve"> </w:t>
      </w:r>
      <w:r>
        <w:t xml:space="preserve">Node (for the EU reader, the publication of an EU Member State Founding</w:t>
      </w:r>
      <w:r>
        <w:t xml:space="preserve"> </w:t>
      </w:r>
      <w:r>
        <w:t xml:space="preserve">Node Operator within the twelve-month horizon described in Part XI</w:t>
      </w:r>
      <w:r>
        <w:t xml:space="preserve"> </w:t>
      </w:r>
      <w:r>
        <w:t xml:space="preserve">Section 11.2 will reduce latency; for the present example, a United</w:t>
      </w:r>
      <w:r>
        <w:t xml:space="preserve"> </w:t>
      </w:r>
      <w:r>
        <w:t xml:space="preserve">Kingdom Node Operator serves the EU reader) for the TIP-CONTENT record</w:t>
      </w:r>
      <w:r>
        <w:t xml:space="preserve"> </w:t>
      </w:r>
      <w:r>
        <w:t xml:space="preserve">by content identifier.</w:t>
      </w:r>
    </w:p>
    <w:p>
      <w:pPr>
        <w:pStyle w:val="BodyText"/>
      </w:pPr>
      <w:r>
        <w:t xml:space="preserve">The Full Node returns the TIP-CONTENT record. The browser extension</w:t>
      </w:r>
      <w:r>
        <w:t xml:space="preserve"> </w:t>
      </w:r>
      <w:r>
        <w:t xml:space="preserve">verifies:</w:t>
      </w:r>
    </w:p>
    <w:p>
      <w:pPr>
        <w:pStyle w:val="Compact"/>
        <w:numPr>
          <w:ilvl w:val="0"/>
          <w:numId w:val="1029"/>
        </w:numPr>
      </w:pPr>
      <w:r>
        <w:t xml:space="preserve">The signature on the TIP-CONTENT record using Sample Journalist’s</w:t>
      </w:r>
      <w:r>
        <w:t xml:space="preserve"> </w:t>
      </w:r>
      <w:r>
        <w:t xml:space="preserve">public key (retrieved from the CTID issuance event on the federated</w:t>
      </w:r>
      <w:r>
        <w:t xml:space="preserve"> </w:t>
      </w:r>
      <w:r>
        <w:t xml:space="preserve">DAG).</w:t>
      </w:r>
    </w:p>
    <w:p>
      <w:pPr>
        <w:pStyle w:val="Compact"/>
        <w:numPr>
          <w:ilvl w:val="0"/>
          <w:numId w:val="1029"/>
        </w:numPr>
      </w:pPr>
      <w:r>
        <w:t xml:space="preserve">The CTID issuance event signature using the Verification Provider’s</w:t>
      </w:r>
      <w:r>
        <w:t xml:space="preserve"> </w:t>
      </w:r>
      <w:r>
        <w:t xml:space="preserve">public key (retrieved from the Verification Provider Registry).</w:t>
      </w:r>
    </w:p>
    <w:p>
      <w:pPr>
        <w:pStyle w:val="Compact"/>
        <w:numPr>
          <w:ilvl w:val="0"/>
          <w:numId w:val="1029"/>
        </w:numPr>
      </w:pPr>
      <w:r>
        <w:t xml:space="preserve">The Verification Provider’s accreditation status (in good</w:t>
      </w:r>
      <w:r>
        <w:t xml:space="preserve"> </w:t>
      </w:r>
      <w:r>
        <w:t xml:space="preserve">standing).</w:t>
      </w:r>
    </w:p>
    <w:p>
      <w:pPr>
        <w:pStyle w:val="Compact"/>
        <w:numPr>
          <w:ilvl w:val="0"/>
          <w:numId w:val="1029"/>
        </w:numPr>
      </w:pPr>
      <w:r>
        <w:t xml:space="preserve">Sample Journalist’s current Trust Score and active Blocking</w:t>
      </w:r>
      <w:r>
        <w:t xml:space="preserve"> </w:t>
      </w:r>
      <w:r>
        <w:t xml:space="preserve">Items.</w:t>
      </w:r>
    </w:p>
    <w:p>
      <w:pPr>
        <w:pStyle w:val="FirstParagraph"/>
      </w:pPr>
      <w:r>
        <w:t xml:space="preserve">All verifications succeed. The current Trust Score remains in the</w:t>
      </w:r>
      <w:r>
        <w:t xml:space="preserve"> </w:t>
      </w:r>
      <w:r>
        <w:t xml:space="preserve">Verified class. No Blocking Items are active. The Origin Code is</w:t>
      </w:r>
      <w:r>
        <w:t xml:space="preserve"> </w:t>
      </w:r>
      <w:r>
        <w:rPr>
          <w:rStyle w:val="VerbatimChar"/>
        </w:rPr>
        <w:t xml:space="preserve">OH</w:t>
      </w:r>
      <w:r>
        <w:t xml:space="preserve">.</w:t>
      </w:r>
    </w:p>
    <w:p>
      <w:pPr>
        <w:pStyle w:val="BodyText"/>
      </w:pPr>
      <w:r>
        <w:t xml:space="preserve">The browser extension displays the reader-facing badge:</w:t>
      </w:r>
    </w:p>
    <w:p>
      <w:pPr>
        <w:pStyle w:val="SourceCode"/>
      </w:pPr>
      <w:r>
        <w:rPr>
          <w:rStyle w:val="VerbatimChar"/>
        </w:rPr>
        <w:t xml:space="preserve">[Global Seal of Trust]</w:t>
      </w:r>
      <w:r>
        <w:br/>
      </w:r>
      <w:r>
        <w:rPr>
          <w:rStyle w:val="VerbatimChar"/>
        </w:rPr>
        <w:t xml:space="preserve">CTID: Q7ABCD-EFGHIJ-KLMNOP-QRSTUV-WXYZ23</w:t>
      </w:r>
      <w:r>
        <w:br/>
      </w:r>
      <w:r>
        <w:rPr>
          <w:rStyle w:val="VerbatimChar"/>
        </w:rPr>
        <w:t xml:space="preserve">Trust Score: Verified (825)</w:t>
      </w:r>
      <w:r>
        <w:br/>
      </w:r>
      <w:r>
        <w:rPr>
          <w:rStyle w:val="VerbatimChar"/>
        </w:rPr>
        <w:t xml:space="preserve">Origin: Original Human</w:t>
      </w:r>
      <w:r>
        <w:br/>
      </w:r>
      <w:r>
        <w:rPr>
          <w:rStyle w:val="VerbatimChar"/>
        </w:rPr>
        <w:t xml:space="preserve">Version: 1 (June 2, 2026)</w:t>
      </w:r>
      <w:r>
        <w:br/>
      </w:r>
      <w:r>
        <w:rPr>
          <w:rStyle w:val="VerbatimChar"/>
        </w:rPr>
        <w:t xml:space="preserve">Issuing Verification Provider: NZ-VP-001 (New Zealand)</w:t>
      </w:r>
    </w:p>
    <w:bookmarkEnd w:id="289"/>
    <w:bookmarkStart w:id="290" w:name="d.6-step-5-subsequent-modification"/>
    <w:p>
      <w:pPr>
        <w:pStyle w:val="Heading2"/>
      </w:pPr>
      <w:r>
        <w:t xml:space="preserve">D.6 Step 5: Subsequent modification</w:t>
      </w:r>
    </w:p>
    <w:p>
      <w:pPr>
        <w:pStyle w:val="FirstParagraph"/>
      </w:pPr>
      <w:r>
        <w:t xml:space="preserve">Three days after publication, Sample Journalist corrects a</w:t>
      </w:r>
      <w:r>
        <w:t xml:space="preserve"> </w:t>
      </w:r>
      <w:r>
        <w:t xml:space="preserve">typographical error in the article. Sample Journalist invokes the</w:t>
      </w:r>
      <w:r>
        <w:t xml:space="preserve"> </w:t>
      </w:r>
      <w:r>
        <w:t xml:space="preserve">browser extension on the corrected article. The extension computes a new</w:t>
      </w:r>
      <w:r>
        <w:t xml:space="preserve"> </w:t>
      </w:r>
      <w:r>
        <w:t xml:space="preserve">content identifier, presents a CONTENT_UPDATED dialog identifying the</w:t>
      </w:r>
      <w:r>
        <w:t xml:space="preserve"> </w:t>
      </w:r>
      <w:r>
        <w:t xml:space="preserve">modification category (Category (a), non-substantive correction per Part</w:t>
      </w:r>
      <w:r>
        <w:t xml:space="preserve"> </w:t>
      </w:r>
      <w:r>
        <w:t xml:space="preserve">V Section 5.5.1), and prompts Sample Journalist for confirmation. Sample</w:t>
      </w:r>
      <w:r>
        <w:t xml:space="preserve"> </w:t>
      </w:r>
      <w:r>
        <w:t xml:space="preserve">Journalist confirms.</w:t>
      </w:r>
    </w:p>
    <w:p>
      <w:pPr>
        <w:pStyle w:val="BodyText"/>
      </w:pPr>
      <w:r>
        <w:t xml:space="preserve">The browser extension produces a signed CONTENT_UPDATED event,</w:t>
      </w:r>
      <w:r>
        <w:t xml:space="preserve"> </w:t>
      </w:r>
      <w:r>
        <w:t xml:space="preserve">identifying the prior version’s content identifier, the new version’s</w:t>
      </w:r>
      <w:r>
        <w:t xml:space="preserve"> </w:t>
      </w:r>
      <w:r>
        <w:t xml:space="preserve">content identifier, the version number (2), the modification category, a</w:t>
      </w:r>
      <w:r>
        <w:t xml:space="preserve"> </w:t>
      </w:r>
      <w:r>
        <w:t xml:space="preserve">human-readable note, the timestamp, and the signature. The event is</w:t>
      </w:r>
      <w:r>
        <w:t xml:space="preserve"> </w:t>
      </w:r>
      <w:r>
        <w:t xml:space="preserve">published to the federated DAG.</w:t>
      </w:r>
    </w:p>
    <w:p>
      <w:pPr>
        <w:pStyle w:val="BodyText"/>
      </w:pPr>
      <w:r>
        <w:t xml:space="preserve">A reader subsequently viewing the corrected article observes the</w:t>
      </w:r>
      <w:r>
        <w:t xml:space="preserve"> </w:t>
      </w:r>
      <w:r>
        <w:t xml:space="preserve">badge with version number 2 and a link to the version history. The</w:t>
      </w:r>
      <w:r>
        <w:t xml:space="preserve"> </w:t>
      </w:r>
      <w:r>
        <w:t xml:space="preserve">version history identifies the original publication and the</w:t>
      </w:r>
      <w:r>
        <w:t xml:space="preserve"> </w:t>
      </w:r>
      <w:r>
        <w:t xml:space="preserve">CONTENT_UPDATED event with the modification category and the note. The</w:t>
      </w:r>
      <w:r>
        <w:t xml:space="preserve"> </w:t>
      </w:r>
      <w:r>
        <w:t xml:space="preserve">Trust Score is unchanged.</w:t>
      </w:r>
    </w:p>
    <w:bookmarkEnd w:id="290"/>
    <w:bookmarkStart w:id="291" w:name="d.7-failure-mode-authenticator-loss"/>
    <w:p>
      <w:pPr>
        <w:pStyle w:val="Heading2"/>
      </w:pPr>
      <w:r>
        <w:t xml:space="preserve">D.7 Failure mode, authenticator loss</w:t>
      </w:r>
    </w:p>
    <w:p>
      <w:pPr>
        <w:pStyle w:val="FirstParagraph"/>
      </w:pPr>
      <w:r>
        <w:t xml:space="preserve">Sample Journalist loses the device on which the WebAuthn</w:t>
      </w:r>
      <w:r>
        <w:t xml:space="preserve"> </w:t>
      </w:r>
      <w:r>
        <w:t xml:space="preserve">authenticator is configured. Sample Journalist initiates the</w:t>
      </w:r>
      <w:r>
        <w:t xml:space="preserve"> </w:t>
      </w:r>
      <w:r>
        <w:t xml:space="preserve">Verification Provider’s recovery procedure. The Verification Provider</w:t>
      </w:r>
      <w:r>
        <w:t xml:space="preserve"> </w:t>
      </w:r>
      <w:r>
        <w:t xml:space="preserve">verifies Sample Journalist’s identity by the recovery criteria published</w:t>
      </w:r>
      <w:r>
        <w:t xml:space="preserve"> </w:t>
      </w:r>
      <w:r>
        <w:t xml:space="preserve">in the Accreditation Schedule. On successful recovery verification, the</w:t>
      </w:r>
      <w:r>
        <w:t xml:space="preserve"> </w:t>
      </w:r>
      <w:r>
        <w:t xml:space="preserve">Verification Provider:</w:t>
      </w:r>
    </w:p>
    <w:p>
      <w:pPr>
        <w:pStyle w:val="Compact"/>
        <w:numPr>
          <w:ilvl w:val="0"/>
          <w:numId w:val="1030"/>
        </w:numPr>
      </w:pPr>
      <w:r>
        <w:t xml:space="preserve">Revokes the CTID</w:t>
      </w:r>
      <w:r>
        <w:t xml:space="preserve"> </w:t>
      </w:r>
      <w:r>
        <w:rPr>
          <w:rStyle w:val="VerbatimChar"/>
        </w:rPr>
        <w:t xml:space="preserve">Q7ABCD-EFGHIJ-KLMNOP-QRSTUV-WXYZ23</w:t>
      </w:r>
      <w:r>
        <w:t xml:space="preserve"> </w:t>
      </w:r>
      <w:r>
        <w:t xml:space="preserve">and</w:t>
      </w:r>
      <w:r>
        <w:t xml:space="preserve"> </w:t>
      </w:r>
      <w:r>
        <w:t xml:space="preserve">publishes the revocation event to the federated DAG.</w:t>
      </w:r>
    </w:p>
    <w:p>
      <w:pPr>
        <w:pStyle w:val="Compact"/>
        <w:numPr>
          <w:ilvl w:val="0"/>
          <w:numId w:val="1030"/>
        </w:numPr>
      </w:pPr>
      <w:r>
        <w:t xml:space="preserve">Issues a successor CTID</w:t>
      </w:r>
      <w:r>
        <w:t xml:space="preserve"> </w:t>
      </w:r>
      <w:r>
        <w:rPr>
          <w:rStyle w:val="VerbatimChar"/>
        </w:rPr>
        <w:t xml:space="preserve">S9MNOP-QRSTUV-WXYZ23-ABCDEF-GHIJKL</w:t>
      </w:r>
      <w:r>
        <w:t xml:space="preserve"> </w:t>
      </w:r>
      <w:r>
        <w:t xml:space="preserve">to Sample Journalist</w:t>
      </w:r>
      <w:r>
        <w:t xml:space="preserve"> </w:t>
      </w:r>
      <w:r>
        <w:t xml:space="preserve">using a new keypair generated on Sample Journalist’s new device.</w:t>
      </w:r>
    </w:p>
    <w:p>
      <w:pPr>
        <w:pStyle w:val="Compact"/>
        <w:numPr>
          <w:ilvl w:val="0"/>
          <w:numId w:val="1030"/>
        </w:numPr>
      </w:pPr>
      <w:r>
        <w:t xml:space="preserve">Publishes a succession notice signed by both the revoked CTID’s</w:t>
      </w:r>
      <w:r>
        <w:t xml:space="preserve"> </w:t>
      </w:r>
      <w:r>
        <w:t xml:space="preserve">stored backup key (held by Sample Journalist in the secure recovery</w:t>
      </w:r>
      <w:r>
        <w:t xml:space="preserve"> </w:t>
      </w:r>
      <w:r>
        <w:t xml:space="preserve">medium published by the Verification Provider) and the successor CTID,</w:t>
      </w:r>
      <w:r>
        <w:t xml:space="preserve"> </w:t>
      </w:r>
      <w:r>
        <w:t xml:space="preserve">identifying the relationship between the two CTIDs.</w:t>
      </w:r>
    </w:p>
    <w:p>
      <w:pPr>
        <w:pStyle w:val="FirstParagraph"/>
      </w:pPr>
      <w:r>
        <w:t xml:space="preserve">The reader subsequently encountering the article continues to verify</w:t>
      </w:r>
      <w:r>
        <w:t xml:space="preserve"> </w:t>
      </w:r>
      <w:r>
        <w:t xml:space="preserve">it under the revoked CTID</w:t>
      </w:r>
      <w:r>
        <w:t xml:space="preserve"> </w:t>
      </w:r>
      <w:r>
        <w:rPr>
          <w:rStyle w:val="VerbatimChar"/>
        </w:rPr>
        <w:t xml:space="preserve">Q7ABCD-EFGHIJ-KLMNOP-QRSTUV-WXYZ23</w:t>
      </w:r>
      <w:r>
        <w:t xml:space="preserve">, which remains valid for</w:t>
      </w:r>
      <w:r>
        <w:t xml:space="preserve"> </w:t>
      </w:r>
      <w:r>
        <w:t xml:space="preserve">verification of signatures produced prior to the revocation. The</w:t>
      </w:r>
      <w:r>
        <w:t xml:space="preserve"> </w:t>
      </w:r>
      <w:r>
        <w:t xml:space="preserve">reader’s badge presents the revocation event timestamp and notes that</w:t>
      </w:r>
      <w:r>
        <w:t xml:space="preserve"> </w:t>
      </w:r>
      <w:r>
        <w:t xml:space="preserve">the signing CTID has been revoked but the signature was produced prior</w:t>
      </w:r>
      <w:r>
        <w:t xml:space="preserve"> </w:t>
      </w:r>
      <w:r>
        <w:t xml:space="preserve">to the revocation. Sample Journalist’s continued publishing under the</w:t>
      </w:r>
      <w:r>
        <w:t xml:space="preserve"> </w:t>
      </w:r>
      <w:r>
        <w:t xml:space="preserve">successor CTID is presented under the successor CTID, with reputation</w:t>
      </w:r>
      <w:r>
        <w:t xml:space="preserve"> </w:t>
      </w:r>
      <w:r>
        <w:t xml:space="preserve">continuity supplied by the succession notice.</w:t>
      </w:r>
    </w:p>
    <w:bookmarkEnd w:id="291"/>
    <w:bookmarkStart w:id="292" w:name="d.8-failure-mode-adverse-adjudication"/>
    <w:p>
      <w:pPr>
        <w:pStyle w:val="Heading2"/>
      </w:pPr>
      <w:r>
        <w:t xml:space="preserve">D.8 Failure mode, adverse adjudication</w:t>
      </w:r>
    </w:p>
    <w:p>
      <w:pPr>
        <w:pStyle w:val="FirstParagraph"/>
      </w:pPr>
      <w:r>
        <w:t xml:space="preserve">A third party files a dispute alleging that an article signed by</w:t>
      </w:r>
      <w:r>
        <w:t xml:space="preserve"> </w:t>
      </w:r>
      <w:r>
        <w:t xml:space="preserve">Sample Journalist’s CTID contains a material misrepresentation. The</w:t>
      </w:r>
      <w:r>
        <w:t xml:space="preserve"> </w:t>
      </w:r>
      <w:r>
        <w:t xml:space="preserve">complaint is filed under the bonded jury adjudication procedure</w:t>
      </w:r>
      <w:r>
        <w:t xml:space="preserve"> </w:t>
      </w:r>
      <w:r>
        <w:t xml:space="preserve">described in Part VI Section 6.5.2. A bonded jury panel is convened,</w:t>
      </w:r>
      <w:r>
        <w:t xml:space="preserve"> </w:t>
      </w:r>
      <w:r>
        <w:t xml:space="preserve">reviews the complaint and Sample Journalist’s response, and (in this</w:t>
      </w:r>
      <w:r>
        <w:t xml:space="preserve"> </w:t>
      </w:r>
      <w:r>
        <w:t xml:space="preserve">example) upholds the complaint with a Trust Score reduction. The</w:t>
      </w:r>
      <w:r>
        <w:t xml:space="preserve"> </w:t>
      </w:r>
      <w:r>
        <w:t xml:space="preserve">Adjudicated sub-score of Sample Journalist’s CTID is reduced from 1000</w:t>
      </w:r>
      <w:r>
        <w:t xml:space="preserve"> </w:t>
      </w:r>
      <w:r>
        <w:t xml:space="preserve">to a lower value reflecting the severity category of the adjudication.</w:t>
      </w:r>
      <w:r>
        <w:t xml:space="preserve"> </w:t>
      </w:r>
      <w:r>
        <w:t xml:space="preserve">The aggregate Trust Score is recomputed. The Blocking Item B5 (Final</w:t>
      </w:r>
      <w:r>
        <w:t xml:space="preserve"> </w:t>
      </w:r>
      <w:r>
        <w:t xml:space="preserve">Adverse Adjudication) is activated.</w:t>
      </w:r>
    </w:p>
    <w:p>
      <w:pPr>
        <w:pStyle w:val="BodyText"/>
      </w:pPr>
      <w:r>
        <w:t xml:space="preserve">A reader subsequently viewing articles signed by Sample Journalist’s</w:t>
      </w:r>
      <w:r>
        <w:t xml:space="preserve"> </w:t>
      </w:r>
      <w:r>
        <w:t xml:space="preserve">CTID observes the reduced Trust Score and the B5 marker in the badge.</w:t>
      </w:r>
      <w:r>
        <w:t xml:space="preserve"> </w:t>
      </w:r>
      <w:r>
        <w:t xml:space="preserve">The reader retains the ability to inspect the adjudication’s published</w:t>
      </w:r>
      <w:r>
        <w:t xml:space="preserve"> </w:t>
      </w:r>
      <w:r>
        <w:t xml:space="preserve">determination through the link supplied in the badge.</w:t>
      </w:r>
    </w:p>
    <w:p>
      <w:pPr>
        <w:pStyle w:val="BodyText"/>
      </w:pPr>
      <w:r>
        <w:t xml:space="preserve">The successful adjudication does not invalidate the historical</w:t>
      </w:r>
      <w:r>
        <w:t xml:space="preserve"> </w:t>
      </w:r>
      <w:r>
        <w:t xml:space="preserve">signatures of Sample Journalist’s CTID; it qualifies the present and</w:t>
      </w:r>
      <w:r>
        <w:t xml:space="preserve"> </w:t>
      </w:r>
      <w:r>
        <w:t xml:space="preserve">prospective reliance on the CTID through the reduced Trust Score and the</w:t>
      </w:r>
      <w:r>
        <w:t xml:space="preserve"> </w:t>
      </w:r>
      <w:r>
        <w:t xml:space="preserve">Blocking Item marker.</w:t>
      </w:r>
    </w:p>
    <w:bookmarkEnd w:id="292"/>
    <w:bookmarkEnd w:id="293"/>
    <w:bookmarkStart w:id="298" w:name="appendix-e-compliance-crosswalk"/>
    <w:p>
      <w:pPr>
        <w:pStyle w:val="Heading1"/>
      </w:pPr>
      <w:r>
        <w:t xml:space="preserve">Appendix E: Compliance Crosswalk</w:t>
      </w:r>
    </w:p>
    <w:p>
      <w:pPr>
        <w:pStyle w:val="FirstParagraph"/>
      </w:pPr>
      <w:r>
        <w:t xml:space="preserve">This Appendix maps the technical and institutional controls of the</w:t>
      </w:r>
      <w:r>
        <w:t xml:space="preserve"> </w:t>
      </w:r>
      <w:r>
        <w:t xml:space="preserve">Trust Identity Protocol to the categories and subcategories of three</w:t>
      </w:r>
      <w:r>
        <w:t xml:space="preserve"> </w:t>
      </w:r>
      <w:r>
        <w:t xml:space="preserve">widely adopted reference frameworks: ISO/IEC 27001:2022, the NIST</w:t>
      </w:r>
      <w:r>
        <w:t xml:space="preserve"> </w:t>
      </w:r>
      <w:r>
        <w:t xml:space="preserve">Cybersecurity Framework Version 2.0 (NIST CSF 2.0), and the NIST AI Risk</w:t>
      </w:r>
      <w:r>
        <w:t xml:space="preserve"> </w:t>
      </w:r>
      <w:r>
        <w:t xml:space="preserve">Management Framework Version 1.0 (NIST AI RMF). The Appendix also maps</w:t>
      </w:r>
      <w:r>
        <w:t xml:space="preserve"> </w:t>
      </w:r>
      <w:r>
        <w:t xml:space="preserve">the protocol controls to the OECD AI Principles. The crosswalk is</w:t>
      </w:r>
      <w:r>
        <w:t xml:space="preserve"> </w:t>
      </w:r>
      <w:r>
        <w:t xml:space="preserve">provided as a reference for licensees, Verification Providers, and Node</w:t>
      </w:r>
      <w:r>
        <w:t xml:space="preserve"> </w:t>
      </w:r>
      <w:r>
        <w:t xml:space="preserve">Operators preparing their own conformance documentation. Statements in</w:t>
      </w:r>
      <w:r>
        <w:t xml:space="preserve"> </w:t>
      </w:r>
      <w:r>
        <w:t xml:space="preserve">this Appendix are statements of design intent and of the technical</w:t>
      </w:r>
      <w:r>
        <w:t xml:space="preserve"> </w:t>
      </w:r>
      <w:r>
        <w:t xml:space="preserve">controls implemented in the canonical specification; they are not</w:t>
      </w:r>
      <w:r>
        <w:t xml:space="preserve"> </w:t>
      </w:r>
      <w:r>
        <w:t xml:space="preserve">certifications of compliance. The provisions of Appendix J apply.</w:t>
      </w:r>
    </w:p>
    <w:bookmarkStart w:id="294" w:name="e.1-isoiec-270012022-annex-a-controls"/>
    <w:p>
      <w:pPr>
        <w:pStyle w:val="Heading2"/>
      </w:pPr>
      <w:r>
        <w:t xml:space="preserve">E.1 ISO/IEC 27001:2022 Annex A controls</w:t>
      </w:r>
    </w:p>
    <w:p>
      <w:pPr>
        <w:pStyle w:val="FirstParagraph"/>
      </w:pPr>
      <w:r>
        <w:t xml:space="preserve">The following table identifies the principal Annex A controls of</w:t>
      </w:r>
      <w:r>
        <w:t xml:space="preserve"> </w:t>
      </w:r>
      <w:r>
        <w:t xml:space="preserve">ISO/IEC 27001:2022 supported by the architecture of the Trust Identity</w:t>
      </w:r>
      <w:r>
        <w:t xml:space="preserve"> </w:t>
      </w:r>
      <w:r>
        <w:t xml:space="preserve">Protocol.</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Annex A control</w:t>
            </w:r>
          </w:p>
        </w:tc>
        <w:tc>
          <w:tcPr/>
          <w:p>
            <w:pPr>
              <w:pStyle w:val="Compact"/>
            </w:pPr>
            <w:r>
              <w:t xml:space="preserve">TIP architectural support</w:t>
            </w:r>
          </w:p>
        </w:tc>
      </w:tr>
      <w:tr>
        <w:tc>
          <w:tcPr/>
          <w:p>
            <w:pPr>
              <w:pStyle w:val="Compact"/>
            </w:pPr>
            <w:r>
              <w:t xml:space="preserve">A.5.1 Policies for information security</w:t>
            </w:r>
          </w:p>
        </w:tc>
        <w:tc>
          <w:tcPr/>
          <w:p>
            <w:pPr>
              <w:pStyle w:val="Compact"/>
            </w:pPr>
            <w:r>
              <w:t xml:space="preserve">Charter of the AI Trust Council, TIPCL-1.0, Node Operator</w:t>
            </w:r>
          </w:p>
        </w:tc>
      </w:tr>
      <w:tr>
        <w:tc>
          <w:tcPr/>
          <w:p>
            <w:pPr>
              <w:pStyle w:val="Compact"/>
            </w:pPr>
            <w:r>
              <w:t xml:space="preserve">Agreement,</w:t>
            </w:r>
          </w:p>
        </w:tc>
        <w:tc>
          <w:tcPr/>
          <w:p>
            <w:pPr>
              <w:pStyle w:val="Compact"/>
            </w:pPr>
          </w:p>
        </w:tc>
      </w:tr>
      <w:tr>
        <w:tc>
          <w:tcPr/>
          <w:p>
            <w:pPr>
              <w:pStyle w:val="Compact"/>
            </w:pPr>
            <w:r>
              <w:t xml:space="preserve">Verification Provider accreditation agreement</w:t>
            </w:r>
          </w:p>
        </w:tc>
        <w:tc>
          <w:tcPr/>
          <w:p>
            <w:pPr>
              <w:pStyle w:val="Compact"/>
            </w:pPr>
          </w:p>
        </w:tc>
      </w:tr>
      <w:tr>
        <w:tc>
          <w:tcPr/>
          <w:p>
            <w:pPr>
              <w:pStyle w:val="Compact"/>
            </w:pPr>
            <w:r>
              <w:t xml:space="preserve">A.5.7 Threat intelligence</w:t>
            </w:r>
          </w:p>
        </w:tc>
        <w:tc>
          <w:tcPr/>
          <w:p>
            <w:pPr>
              <w:pStyle w:val="Compact"/>
            </w:pPr>
            <w:r>
              <w:t xml:space="preserve">DAG-based observability of suspension and revocation events</w:t>
            </w:r>
          </w:p>
        </w:tc>
      </w:tr>
      <w:tr>
        <w:tc>
          <w:tcPr/>
          <w:p>
            <w:pPr>
              <w:pStyle w:val="Compact"/>
            </w:pPr>
            <w:r>
              <w:t xml:space="preserve">across</w:t>
            </w:r>
          </w:p>
        </w:tc>
        <w:tc>
          <w:tcPr/>
          <w:p>
            <w:pPr>
              <w:pStyle w:val="Compact"/>
            </w:pPr>
          </w:p>
        </w:tc>
      </w:tr>
      <w:tr>
        <w:tc>
          <w:tcPr/>
          <w:p>
            <w:pPr>
              <w:pStyle w:val="Compact"/>
            </w:pPr>
            <w:r>
              <w:t xml:space="preserve">the federated network</w:t>
            </w:r>
          </w:p>
        </w:tc>
        <w:tc>
          <w:tcPr/>
          <w:p>
            <w:pPr>
              <w:pStyle w:val="Compact"/>
            </w:pPr>
          </w:p>
        </w:tc>
      </w:tr>
      <w:tr>
        <w:tc>
          <w:tcPr/>
          <w:p>
            <w:pPr>
              <w:pStyle w:val="Compact"/>
            </w:pPr>
            <w:r>
              <w:t xml:space="preserve">A.5.15 Access control</w:t>
            </w:r>
          </w:p>
        </w:tc>
        <w:tc>
          <w:tcPr/>
          <w:p>
            <w:pPr>
              <w:pStyle w:val="Compact"/>
            </w:pPr>
            <w:r>
              <w:t xml:space="preserve">CTID-based authentication using NIST FIPS 204 (ML-DSA-65)</w:t>
            </w:r>
          </w:p>
        </w:tc>
      </w:tr>
      <w:tr>
        <w:tc>
          <w:tcPr/>
          <w:p>
            <w:pPr>
              <w:pStyle w:val="Compact"/>
            </w:pPr>
            <w:r>
              <w:t xml:space="preserve">digital</w:t>
            </w:r>
          </w:p>
        </w:tc>
        <w:tc>
          <w:tcPr/>
          <w:p>
            <w:pPr>
              <w:pStyle w:val="Compact"/>
            </w:pPr>
          </w:p>
        </w:tc>
      </w:tr>
      <w:tr>
        <w:tc>
          <w:tcPr/>
          <w:p>
            <w:pPr>
              <w:pStyle w:val="Compact"/>
            </w:pPr>
            <w:r>
              <w:t xml:space="preserve">signatures</w:t>
            </w:r>
          </w:p>
        </w:tc>
        <w:tc>
          <w:tcPr/>
          <w:p>
            <w:pPr>
              <w:pStyle w:val="Compact"/>
            </w:pPr>
          </w:p>
        </w:tc>
      </w:tr>
      <w:tr>
        <w:tc>
          <w:tcPr/>
          <w:p>
            <w:pPr>
              <w:pStyle w:val="Compact"/>
            </w:pPr>
            <w:r>
              <w:t xml:space="preserve">A.5.17 Authentication information</w:t>
            </w:r>
          </w:p>
        </w:tc>
        <w:tc>
          <w:tcPr/>
          <w:p>
            <w:pPr>
              <w:pStyle w:val="Compact"/>
            </w:pPr>
            <w:r>
              <w:t xml:space="preserve">WebAuthn resident key authenticator with biometric binding;</w:t>
            </w:r>
          </w:p>
        </w:tc>
      </w:tr>
      <w:tr>
        <w:tc>
          <w:tcPr/>
          <w:p>
            <w:pPr>
              <w:pStyle w:val="Compact"/>
            </w:pPr>
            <w:r>
              <w:t xml:space="preserve">private</w:t>
            </w:r>
          </w:p>
        </w:tc>
        <w:tc>
          <w:tcPr/>
          <w:p>
            <w:pPr>
              <w:pStyle w:val="Compact"/>
            </w:pPr>
          </w:p>
        </w:tc>
      </w:tr>
      <w:tr>
        <w:tc>
          <w:tcPr/>
          <w:p>
            <w:pPr>
              <w:pStyle w:val="Compact"/>
            </w:pPr>
            <w:r>
              <w:t xml:space="preserve">key never leaves the user’s device</w:t>
            </w:r>
          </w:p>
        </w:tc>
        <w:tc>
          <w:tcPr/>
          <w:p>
            <w:pPr>
              <w:pStyle w:val="Compact"/>
            </w:pPr>
          </w:p>
        </w:tc>
      </w:tr>
      <w:tr>
        <w:tc>
          <w:tcPr/>
          <w:p>
            <w:pPr>
              <w:pStyle w:val="Compact"/>
            </w:pPr>
            <w:r>
              <w:t xml:space="preserve">A.5.23 Information security for use of cloud services</w:t>
            </w:r>
          </w:p>
        </w:tc>
        <w:tc>
          <w:tcPr/>
          <w:p>
            <w:pPr>
              <w:pStyle w:val="Compact"/>
            </w:pPr>
            <w:r>
              <w:t xml:space="preserve">Verification Provider jurisdiction declaration; node operator</w:t>
            </w:r>
          </w:p>
        </w:tc>
      </w:tr>
      <w:tr>
        <w:tc>
          <w:tcPr/>
          <w:p>
            <w:pPr>
              <w:pStyle w:val="Compact"/>
            </w:pPr>
            <w:r>
              <w:t xml:space="preserve">hosting requirements</w:t>
            </w:r>
          </w:p>
        </w:tc>
        <w:tc>
          <w:tcPr/>
          <w:p>
            <w:pPr>
              <w:pStyle w:val="Compact"/>
            </w:pPr>
          </w:p>
        </w:tc>
      </w:tr>
      <w:tr>
        <w:tc>
          <w:tcPr/>
          <w:p>
            <w:pPr>
              <w:pStyle w:val="Compact"/>
            </w:pPr>
            <w:r>
              <w:t xml:space="preserve">A.5.30 ICT readiness for business continuity</w:t>
            </w:r>
          </w:p>
        </w:tc>
        <w:tc>
          <w:tcPr/>
          <w:p>
            <w:pPr>
              <w:pStyle w:val="Compact"/>
            </w:pPr>
            <w:r>
              <w:t xml:space="preserve">Federated DAG with multi-region Node Operator deployment</w:t>
            </w:r>
          </w:p>
        </w:tc>
      </w:tr>
      <w:tr>
        <w:tc>
          <w:tcPr/>
          <w:p>
            <w:pPr>
              <w:pStyle w:val="Compact"/>
            </w:pPr>
            <w:r>
              <w:t xml:space="preserve">A.5.34 Privacy and protection of PII</w:t>
            </w:r>
          </w:p>
        </w:tc>
        <w:tc>
          <w:tcPr/>
          <w:p>
            <w:pPr>
              <w:pStyle w:val="Compact"/>
            </w:pPr>
            <w:r>
              <w:t xml:space="preserve">Architectural commitment to pseudonymous DAG records; biometric</w:t>
            </w:r>
          </w:p>
        </w:tc>
      </w:tr>
      <w:tr>
        <w:tc>
          <w:tcPr/>
          <w:p>
            <w:pPr>
              <w:pStyle w:val="Compact"/>
            </w:pPr>
            <w:r>
              <w:t xml:space="preserve">data</w:t>
            </w:r>
          </w:p>
        </w:tc>
        <w:tc>
          <w:tcPr/>
          <w:p>
            <w:pPr>
              <w:pStyle w:val="Compact"/>
            </w:pPr>
          </w:p>
        </w:tc>
      </w:tr>
      <w:tr>
        <w:tc>
          <w:tcPr/>
          <w:p>
            <w:pPr>
              <w:pStyle w:val="Compact"/>
            </w:pPr>
            <w:r>
              <w:t xml:space="preserve">device-local</w:t>
            </w:r>
          </w:p>
        </w:tc>
        <w:tc>
          <w:tcPr/>
          <w:p>
            <w:pPr>
              <w:pStyle w:val="Compact"/>
            </w:pPr>
          </w:p>
        </w:tc>
      </w:tr>
      <w:tr>
        <w:tc>
          <w:tcPr/>
          <w:p>
            <w:pPr>
              <w:pStyle w:val="Compact"/>
            </w:pPr>
            <w:r>
              <w:t xml:space="preserve">A.5.35 Independent review of information security</w:t>
            </w:r>
          </w:p>
        </w:tc>
        <w:tc>
          <w:tcPr/>
          <w:p>
            <w:pPr>
              <w:pStyle w:val="Compact"/>
            </w:pPr>
            <w:r>
              <w:t xml:space="preserve">Annual Verification Provider audit by an auditor acceptable to</w:t>
            </w:r>
          </w:p>
        </w:tc>
      </w:tr>
      <w:tr>
        <w:tc>
          <w:tcPr/>
          <w:p>
            <w:pPr>
              <w:pStyle w:val="Compact"/>
            </w:pPr>
            <w:r>
              <w:t xml:space="preserve">The</w:t>
            </w:r>
          </w:p>
        </w:tc>
        <w:tc>
          <w:tcPr/>
          <w:p>
            <w:pPr>
              <w:pStyle w:val="Compact"/>
            </w:pPr>
          </w:p>
        </w:tc>
      </w:tr>
      <w:tr>
        <w:tc>
          <w:tcPr/>
          <w:p>
            <w:pPr>
              <w:pStyle w:val="Compact"/>
            </w:pPr>
            <w:r>
              <w:t xml:space="preserve">AI Lab</w:t>
            </w:r>
          </w:p>
        </w:tc>
        <w:tc>
          <w:tcPr/>
          <w:p>
            <w:pPr>
              <w:pStyle w:val="Compact"/>
            </w:pPr>
          </w:p>
        </w:tc>
      </w:tr>
      <w:tr>
        <w:tc>
          <w:tcPr/>
          <w:p>
            <w:pPr>
              <w:pStyle w:val="Compact"/>
            </w:pPr>
            <w:r>
              <w:t xml:space="preserve">A.6.3 Information security awareness, education and training</w:t>
            </w:r>
          </w:p>
        </w:tc>
        <w:tc>
          <w:tcPr/>
          <w:p>
            <w:pPr>
              <w:pStyle w:val="Compact"/>
            </w:pPr>
            <w:r>
              <w:t xml:space="preserve">Article 4 EU AI Act AI literacy commitments in Verification</w:t>
            </w:r>
          </w:p>
        </w:tc>
      </w:tr>
      <w:tr>
        <w:tc>
          <w:tcPr/>
          <w:p>
            <w:pPr>
              <w:pStyle w:val="Compact"/>
            </w:pPr>
            <w:r>
              <w:t xml:space="preserve">Provider</w:t>
            </w:r>
          </w:p>
        </w:tc>
        <w:tc>
          <w:tcPr/>
          <w:p>
            <w:pPr>
              <w:pStyle w:val="Compact"/>
            </w:pPr>
          </w:p>
        </w:tc>
      </w:tr>
      <w:tr>
        <w:tc>
          <w:tcPr/>
          <w:p>
            <w:pPr>
              <w:pStyle w:val="Compact"/>
            </w:pPr>
            <w:r>
              <w:t xml:space="preserve">accreditation agreement and Node Operator Agreement</w:t>
            </w:r>
          </w:p>
        </w:tc>
        <w:tc>
          <w:tcPr/>
          <w:p>
            <w:pPr>
              <w:pStyle w:val="Compact"/>
            </w:pPr>
          </w:p>
        </w:tc>
      </w:tr>
      <w:tr>
        <w:tc>
          <w:tcPr/>
          <w:p>
            <w:pPr>
              <w:pStyle w:val="Compact"/>
            </w:pPr>
            <w:r>
              <w:t xml:space="preserve">A.8.5 Secure authentication</w:t>
            </w:r>
          </w:p>
        </w:tc>
        <w:tc>
          <w:tcPr/>
          <w:p>
            <w:pPr>
              <w:pStyle w:val="Compact"/>
            </w:pPr>
            <w:r>
              <w:t xml:space="preserve">WebAuthn FIDO2 authenticator with platform attestation</w:t>
            </w:r>
          </w:p>
        </w:tc>
      </w:tr>
      <w:tr>
        <w:tc>
          <w:tcPr/>
          <w:p>
            <w:pPr>
              <w:pStyle w:val="Compact"/>
            </w:pPr>
            <w:r>
              <w:t xml:space="preserve">A.8.9 Configuration management</w:t>
            </w:r>
          </w:p>
        </w:tc>
        <w:tc>
          <w:tcPr/>
          <w:p>
            <w:pPr>
              <w:pStyle w:val="Compact"/>
            </w:pPr>
            <w:r>
              <w:t xml:space="preserve">Reference implementation configuration baselines published by The</w:t>
            </w:r>
          </w:p>
        </w:tc>
      </w:tr>
      <w:tr>
        <w:tc>
          <w:tcPr/>
          <w:p>
            <w:pPr>
              <w:pStyle w:val="Compact"/>
            </w:pPr>
            <w:r>
              <w:t xml:space="preserve">AI</w:t>
            </w:r>
          </w:p>
        </w:tc>
        <w:tc>
          <w:tcPr/>
          <w:p>
            <w:pPr>
              <w:pStyle w:val="Compact"/>
            </w:pPr>
          </w:p>
        </w:tc>
      </w:tr>
      <w:tr>
        <w:tc>
          <w:tcPr/>
          <w:p>
            <w:pPr>
              <w:pStyle w:val="Compact"/>
            </w:pPr>
            <w:r>
              <w:t xml:space="preserve">Lab</w:t>
            </w:r>
          </w:p>
        </w:tc>
        <w:tc>
          <w:tcPr/>
          <w:p>
            <w:pPr>
              <w:pStyle w:val="Compact"/>
            </w:pPr>
          </w:p>
        </w:tc>
      </w:tr>
      <w:tr>
        <w:tc>
          <w:tcPr/>
          <w:p>
            <w:pPr>
              <w:pStyle w:val="Compact"/>
            </w:pPr>
            <w:r>
              <w:t xml:space="preserve">A.8.10 Information deletion</w:t>
            </w:r>
          </w:p>
        </w:tc>
        <w:tc>
          <w:tcPr/>
          <w:p>
            <w:pPr>
              <w:pStyle w:val="Compact"/>
            </w:pPr>
            <w:r>
              <w:t xml:space="preserve">Pseudonymization-based right to erasure pattern under GDPR</w:t>
            </w:r>
          </w:p>
        </w:tc>
      </w:tr>
      <w:tr>
        <w:tc>
          <w:tcPr/>
          <w:p>
            <w:pPr>
              <w:pStyle w:val="Compact"/>
            </w:pPr>
            <w:r>
              <w:t xml:space="preserve">Article</w:t>
            </w:r>
          </w:p>
        </w:tc>
        <w:tc>
          <w:tcPr/>
          <w:p>
            <w:pPr>
              <w:pStyle w:val="Compact"/>
            </w:pPr>
          </w:p>
        </w:tc>
      </w:tr>
      <w:tr>
        <w:tc>
          <w:tcPr/>
          <w:p>
            <w:pPr>
              <w:pStyle w:val="Compact"/>
            </w:pPr>
            <w:r>
              <w:t xml:space="preserve">17</w:t>
            </w:r>
          </w:p>
        </w:tc>
        <w:tc>
          <w:tcPr/>
          <w:p>
            <w:pPr>
              <w:pStyle w:val="Compact"/>
            </w:pPr>
          </w:p>
        </w:tc>
      </w:tr>
      <w:tr>
        <w:tc>
          <w:tcPr/>
          <w:p>
            <w:pPr>
              <w:pStyle w:val="Compact"/>
            </w:pPr>
            <w:r>
              <w:t xml:space="preserve">A.8.11 Data masking</w:t>
            </w:r>
          </w:p>
        </w:tc>
        <w:tc>
          <w:tcPr/>
          <w:p>
            <w:pPr>
              <w:pStyle w:val="Compact"/>
            </w:pPr>
            <w:r>
              <w:t xml:space="preserve">CTID is a pseudonymous identifier derived from a public key; no</w:t>
            </w:r>
          </w:p>
        </w:tc>
      </w:tr>
      <w:tr>
        <w:tc>
          <w:tcPr/>
          <w:p>
            <w:pPr>
              <w:pStyle w:val="Compact"/>
            </w:pPr>
            <w:r>
              <w:t xml:space="preserve">real-world identifier on the DAG</w:t>
            </w:r>
          </w:p>
        </w:tc>
        <w:tc>
          <w:tcPr/>
          <w:p>
            <w:pPr>
              <w:pStyle w:val="Compact"/>
            </w:pPr>
          </w:p>
        </w:tc>
      </w:tr>
      <w:tr>
        <w:tc>
          <w:tcPr/>
          <w:p>
            <w:pPr>
              <w:pStyle w:val="Compact"/>
            </w:pPr>
            <w:r>
              <w:t xml:space="preserve">A.8.12 Data leakage prevention</w:t>
            </w:r>
          </w:p>
        </w:tc>
        <w:tc>
          <w:tcPr/>
          <w:p>
            <w:pPr>
              <w:pStyle w:val="Compact"/>
            </w:pPr>
            <w:r>
              <w:t xml:space="preserve">Architectural decision that biometric templates do not leave</w:t>
            </w:r>
          </w:p>
        </w:tc>
      </w:tr>
      <w:tr>
        <w:tc>
          <w:tcPr/>
          <w:p>
            <w:pPr>
              <w:pStyle w:val="Compact"/>
            </w:pPr>
            <w:r>
              <w:t xml:space="preserve">the</w:t>
            </w:r>
          </w:p>
        </w:tc>
        <w:tc>
          <w:tcPr/>
          <w:p>
            <w:pPr>
              <w:pStyle w:val="Compact"/>
            </w:pPr>
          </w:p>
        </w:tc>
      </w:tr>
      <w:tr>
        <w:tc>
          <w:tcPr/>
          <w:p>
            <w:pPr>
              <w:pStyle w:val="Compact"/>
            </w:pPr>
            <w:r>
              <w:t xml:space="preserve">user’s device</w:t>
            </w:r>
          </w:p>
        </w:tc>
        <w:tc>
          <w:tcPr/>
          <w:p>
            <w:pPr>
              <w:pStyle w:val="Compact"/>
            </w:pPr>
          </w:p>
        </w:tc>
      </w:tr>
      <w:tr>
        <w:tc>
          <w:tcPr/>
          <w:p>
            <w:pPr>
              <w:pStyle w:val="Compact"/>
            </w:pPr>
            <w:r>
              <w:t xml:space="preserve">A.8.14 Redundancy of information processing facilities</w:t>
            </w:r>
          </w:p>
        </w:tc>
        <w:tc>
          <w:tcPr/>
          <w:p>
            <w:pPr>
              <w:pStyle w:val="Compact"/>
            </w:pPr>
            <w:r>
              <w:t xml:space="preserve">Federated DAG with multi-region Node Operator deployment</w:t>
            </w:r>
          </w:p>
        </w:tc>
      </w:tr>
      <w:tr>
        <w:tc>
          <w:tcPr/>
          <w:p>
            <w:pPr>
              <w:pStyle w:val="Compact"/>
            </w:pPr>
            <w:r>
              <w:t xml:space="preserve">A.8.15 Logging</w:t>
            </w:r>
          </w:p>
        </w:tc>
        <w:tc>
          <w:tcPr/>
          <w:p>
            <w:pPr>
              <w:pStyle w:val="Compact"/>
            </w:pPr>
            <w:r>
              <w:t xml:space="preserve">Append-only DAG record of all signed events</w:t>
            </w:r>
          </w:p>
        </w:tc>
      </w:tr>
      <w:tr>
        <w:tc>
          <w:tcPr/>
          <w:p>
            <w:pPr>
              <w:pStyle w:val="Compact"/>
            </w:pPr>
            <w:r>
              <w:t xml:space="preserve">A.8.16 Monitoring activities</w:t>
            </w:r>
          </w:p>
        </w:tc>
        <w:tc>
          <w:tcPr/>
          <w:p>
            <w:pPr>
              <w:pStyle w:val="Compact"/>
            </w:pPr>
            <w:r>
              <w:t xml:space="preserve">Trust Score and Blocking Item monitoring; warrant canary</w:t>
            </w:r>
          </w:p>
        </w:tc>
      </w:tr>
      <w:tr>
        <w:tc>
          <w:tcPr/>
          <w:p>
            <w:pPr>
              <w:pStyle w:val="Compact"/>
            </w:pPr>
            <w:r>
              <w:t xml:space="preserve">attestation</w:t>
            </w:r>
          </w:p>
        </w:tc>
        <w:tc>
          <w:tcPr/>
          <w:p>
            <w:pPr>
              <w:pStyle w:val="Compact"/>
            </w:pPr>
          </w:p>
        </w:tc>
      </w:tr>
      <w:tr>
        <w:tc>
          <w:tcPr/>
          <w:p>
            <w:pPr>
              <w:pStyle w:val="Compact"/>
            </w:pPr>
            <w:r>
              <w:t xml:space="preserve">A.8.20 Networks security</w:t>
            </w:r>
          </w:p>
        </w:tc>
        <w:tc>
          <w:tcPr/>
          <w:p>
            <w:pPr>
              <w:pStyle w:val="Compact"/>
            </w:pPr>
            <w:r>
              <w:t xml:space="preserve">TLS 1.3 with hybrid post-quantum key agreement for transport</w:t>
            </w:r>
          </w:p>
        </w:tc>
      </w:tr>
      <w:tr>
        <w:tc>
          <w:tcPr/>
          <w:p>
            <w:pPr>
              <w:pStyle w:val="Compact"/>
            </w:pPr>
            <w:r>
              <w:t xml:space="preserve">between</w:t>
            </w:r>
          </w:p>
        </w:tc>
        <w:tc>
          <w:tcPr/>
          <w:p>
            <w:pPr>
              <w:pStyle w:val="Compact"/>
            </w:pPr>
          </w:p>
        </w:tc>
      </w:tr>
      <w:tr>
        <w:tc>
          <w:tcPr/>
          <w:p>
            <w:pPr>
              <w:pStyle w:val="Compact"/>
            </w:pPr>
            <w:r>
              <w:t xml:space="preserve">protocol participants</w:t>
            </w:r>
          </w:p>
        </w:tc>
        <w:tc>
          <w:tcPr/>
          <w:p>
            <w:pPr>
              <w:pStyle w:val="Compact"/>
            </w:pPr>
          </w:p>
        </w:tc>
      </w:tr>
      <w:tr>
        <w:tc>
          <w:tcPr/>
          <w:p>
            <w:pPr>
              <w:pStyle w:val="Compact"/>
            </w:pPr>
            <w:r>
              <w:t xml:space="preserve">A.8.24 Use of cryptography</w:t>
            </w:r>
          </w:p>
        </w:tc>
        <w:tc>
          <w:tcPr/>
          <w:p>
            <w:pPr>
              <w:pStyle w:val="Compact"/>
            </w:pPr>
            <w:r>
              <w:t xml:space="preserve">NIST FIPS 203, FIPS 204, FIPS 205 post-quantum primitives; AES</w:t>
            </w:r>
          </w:p>
        </w:tc>
      </w:tr>
      <w:tr>
        <w:tc>
          <w:tcPr/>
          <w:p>
            <w:pPr>
              <w:pStyle w:val="Compact"/>
            </w:pPr>
            <w:r>
              <w:t xml:space="preserve">key</w:t>
            </w:r>
          </w:p>
        </w:tc>
        <w:tc>
          <w:tcPr/>
          <w:p>
            <w:pPr>
              <w:pStyle w:val="Compact"/>
            </w:pPr>
          </w:p>
        </w:tc>
      </w:tr>
      <w:tr>
        <w:tc>
          <w:tcPr/>
          <w:p>
            <w:pPr>
              <w:pStyle w:val="Compact"/>
            </w:pPr>
            <w:r>
              <w:t xml:space="preserve">protection chain</w:t>
            </w:r>
          </w:p>
        </w:tc>
        <w:tc>
          <w:tcPr/>
          <w:p>
            <w:pPr>
              <w:pStyle w:val="Compact"/>
            </w:pPr>
          </w:p>
        </w:tc>
      </w:tr>
      <w:tr>
        <w:tc>
          <w:tcPr/>
          <w:p>
            <w:pPr>
              <w:pStyle w:val="Compact"/>
            </w:pPr>
            <w:r>
              <w:t xml:space="preserve">A.8.26 Application security requirements</w:t>
            </w:r>
          </w:p>
        </w:tc>
        <w:tc>
          <w:tcPr/>
          <w:p>
            <w:pPr>
              <w:pStyle w:val="Compact"/>
            </w:pPr>
            <w:r>
              <w:t xml:space="preserve">Reference implementation security requirements published by The</w:t>
            </w:r>
          </w:p>
        </w:tc>
      </w:tr>
      <w:tr>
        <w:tc>
          <w:tcPr/>
          <w:p>
            <w:pPr>
              <w:pStyle w:val="Compact"/>
            </w:pPr>
            <w:r>
              <w:t xml:space="preserve">AI</w:t>
            </w:r>
          </w:p>
        </w:tc>
        <w:tc>
          <w:tcPr/>
          <w:p>
            <w:pPr>
              <w:pStyle w:val="Compact"/>
            </w:pPr>
          </w:p>
        </w:tc>
      </w:tr>
      <w:tr>
        <w:tc>
          <w:tcPr/>
          <w:p>
            <w:pPr>
              <w:pStyle w:val="Compact"/>
            </w:pPr>
            <w:r>
              <w:t xml:space="preserve">Lab</w:t>
            </w:r>
          </w:p>
        </w:tc>
        <w:tc>
          <w:tcPr/>
          <w:p>
            <w:pPr>
              <w:pStyle w:val="Compact"/>
            </w:pPr>
          </w:p>
        </w:tc>
      </w:tr>
      <w:tr>
        <w:tc>
          <w:tcPr/>
          <w:p>
            <w:pPr>
              <w:pStyle w:val="Compact"/>
            </w:pPr>
            <w:r>
              <w:t xml:space="preserve">A.8.28 Secure coding</w:t>
            </w:r>
          </w:p>
        </w:tc>
        <w:tc>
          <w:tcPr/>
          <w:p>
            <w:pPr>
              <w:pStyle w:val="Compact"/>
            </w:pPr>
            <w:r>
              <w:t xml:space="preserve">Reference implementations follow secure coding standards</w:t>
            </w:r>
          </w:p>
        </w:tc>
      </w:tr>
      <w:tr>
        <w:tc>
          <w:tcPr/>
          <w:p>
            <w:pPr>
              <w:pStyle w:val="Compact"/>
            </w:pPr>
            <w:r>
              <w:t xml:space="preserve">published</w:t>
            </w:r>
          </w:p>
        </w:tc>
        <w:tc>
          <w:tcPr/>
          <w:p>
            <w:pPr>
              <w:pStyle w:val="Compact"/>
            </w:pPr>
          </w:p>
        </w:tc>
      </w:tr>
      <w:tr>
        <w:tc>
          <w:tcPr/>
          <w:p>
            <w:pPr>
              <w:pStyle w:val="Compact"/>
            </w:pPr>
            <w:r>
              <w:t xml:space="preserve">by The AI Lab</w:t>
            </w:r>
          </w:p>
        </w:tc>
        <w:tc>
          <w:tcPr/>
          <w:p>
            <w:pPr>
              <w:pStyle w:val="Compact"/>
            </w:pPr>
          </w:p>
        </w:tc>
      </w:tr>
      <w:tr>
        <w:tc>
          <w:tcPr/>
          <w:p>
            <w:pPr>
              <w:pStyle w:val="Compact"/>
            </w:pPr>
            <w:r>
              <w:t xml:space="preserve">A.8.31 Separation of development, test and production</w:t>
            </w:r>
          </w:p>
        </w:tc>
        <w:tc>
          <w:tcPr/>
          <w:p>
            <w:pPr>
              <w:pStyle w:val="Compact"/>
            </w:pPr>
          </w:p>
        </w:tc>
      </w:tr>
      <w:tr>
        <w:tc>
          <w:tcPr/>
          <w:p>
            <w:pPr>
              <w:pStyle w:val="Compact"/>
            </w:pPr>
            <w:r>
              <w:t xml:space="preserve">environments</w:t>
            </w:r>
          </w:p>
        </w:tc>
        <w:tc>
          <w:tcPr/>
          <w:p>
            <w:pPr>
              <w:pStyle w:val="Compact"/>
            </w:pPr>
            <w:r>
              <w:t xml:space="preserve">Reference deployment configuration</w:t>
            </w:r>
          </w:p>
        </w:tc>
      </w:tr>
      <w:tr>
        <w:tc>
          <w:tcPr/>
          <w:p>
            <w:pPr>
              <w:pStyle w:val="Compact"/>
            </w:pPr>
            <w:r>
              <w:t xml:space="preserve">A.8.32 Change management</w:t>
            </w:r>
          </w:p>
        </w:tc>
        <w:tc>
          <w:tcPr/>
          <w:p>
            <w:pPr>
              <w:pStyle w:val="Compact"/>
            </w:pPr>
            <w:r>
              <w:t xml:space="preserve">AI Trust Council ratification of protocol amendments</w:t>
            </w:r>
          </w:p>
        </w:tc>
      </w:tr>
      <w:tr>
        <w:tc>
          <w:tcPr/>
          <w:p>
            <w:pPr>
              <w:pStyle w:val="Compact"/>
            </w:pPr>
            <w:r>
              <w:t xml:space="preserve">A.8.34 Protection of information systems during audit testing</w:t>
            </w:r>
          </w:p>
        </w:tc>
        <w:tc>
          <w:tcPr/>
          <w:p>
            <w:pPr>
              <w:pStyle w:val="Compact"/>
            </w:pPr>
            <w:r>
              <w:t xml:space="preserve">Read-only audit access to DAG; segregation of audit identifiers</w:t>
            </w:r>
          </w:p>
        </w:tc>
      </w:tr>
    </w:tbl>
    <w:bookmarkEnd w:id="294"/>
    <w:bookmarkStart w:id="295" w:name="X54b5c1606c978e99aba15aecbd63d9ec0f07fb0"/>
    <w:p>
      <w:pPr>
        <w:pStyle w:val="Heading2"/>
      </w:pPr>
      <w:r>
        <w:t xml:space="preserve">E.2 NIST Cybersecurity Framework 2.0 functions</w:t>
      </w:r>
    </w:p>
    <w:p>
      <w:pPr>
        <w:pStyle w:val="FirstParagraph"/>
      </w:pPr>
      <w:r>
        <w:t xml:space="preserve">The following table maps the NIST CSF 2.0 functions and categories to</w:t>
      </w:r>
      <w:r>
        <w:t xml:space="preserve"> </w:t>
      </w:r>
      <w:r>
        <w:t xml:space="preserve">TIP controls.</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NIST CSF 2.0 function and category</w:t>
            </w:r>
          </w:p>
        </w:tc>
        <w:tc>
          <w:tcPr/>
          <w:p>
            <w:pPr>
              <w:pStyle w:val="Compact"/>
            </w:pPr>
            <w:r>
              <w:t xml:space="preserve">TIP architectural support</w:t>
            </w:r>
          </w:p>
        </w:tc>
      </w:tr>
      <w:tr>
        <w:tc>
          <w:tcPr/>
          <w:p>
            <w:pPr>
              <w:pStyle w:val="Compact"/>
            </w:pPr>
            <w:r>
              <w:t xml:space="preserve">GOVERN (GV), Organizational Context</w:t>
            </w:r>
          </w:p>
        </w:tc>
        <w:tc>
          <w:tcPr/>
          <w:p>
            <w:pPr>
              <w:pStyle w:val="Compact"/>
            </w:pPr>
            <w:r>
              <w:t xml:space="preserve">The AI Lab corporate governance; AI Trust Council Charter</w:t>
            </w:r>
          </w:p>
        </w:tc>
      </w:tr>
      <w:tr>
        <w:tc>
          <w:tcPr/>
          <w:p>
            <w:pPr>
              <w:pStyle w:val="Compact"/>
            </w:pPr>
            <w:r>
              <w:t xml:space="preserve">GOVERN (GV), Risk Management Strategy</w:t>
            </w:r>
          </w:p>
        </w:tc>
        <w:tc>
          <w:tcPr/>
          <w:p>
            <w:pPr>
              <w:pStyle w:val="Compact"/>
            </w:pPr>
            <w:r>
              <w:t xml:space="preserve">Material risks register in Part XI; Verification Provider and</w:t>
            </w:r>
          </w:p>
        </w:tc>
      </w:tr>
      <w:tr>
        <w:tc>
          <w:tcPr/>
          <w:p>
            <w:pPr>
              <w:pStyle w:val="Compact"/>
            </w:pPr>
            <w:r>
              <w:t xml:space="preserve">Node</w:t>
            </w:r>
          </w:p>
        </w:tc>
        <w:tc>
          <w:tcPr/>
          <w:p>
            <w:pPr>
              <w:pStyle w:val="Compact"/>
            </w:pPr>
          </w:p>
        </w:tc>
      </w:tr>
      <w:tr>
        <w:tc>
          <w:tcPr/>
          <w:p>
            <w:pPr>
              <w:pStyle w:val="Compact"/>
            </w:pPr>
            <w:r>
              <w:t xml:space="preserve">Operator risk assessments</w:t>
            </w:r>
          </w:p>
        </w:tc>
        <w:tc>
          <w:tcPr/>
          <w:p>
            <w:pPr>
              <w:pStyle w:val="Compact"/>
            </w:pPr>
          </w:p>
        </w:tc>
      </w:tr>
      <w:tr>
        <w:tc>
          <w:tcPr/>
          <w:p>
            <w:pPr>
              <w:pStyle w:val="Compact"/>
            </w:pPr>
            <w:r>
              <w:t xml:space="preserve">GOVERN (GV), Roles, Responsibilities, and Authorities</w:t>
            </w:r>
          </w:p>
        </w:tc>
        <w:tc>
          <w:tcPr/>
          <w:p>
            <w:pPr>
              <w:pStyle w:val="Compact"/>
            </w:pPr>
            <w:r>
              <w:t xml:space="preserve">Defined roles for Verification Provider, Node Operator, AI</w:t>
            </w:r>
          </w:p>
        </w:tc>
      </w:tr>
      <w:tr>
        <w:tc>
          <w:tcPr/>
          <w:p>
            <w:pPr>
              <w:pStyle w:val="Compact"/>
            </w:pPr>
            <w:r>
              <w:t xml:space="preserve">Trust</w:t>
            </w:r>
          </w:p>
        </w:tc>
        <w:tc>
          <w:tcPr/>
          <w:p>
            <w:pPr>
              <w:pStyle w:val="Compact"/>
            </w:pPr>
          </w:p>
        </w:tc>
      </w:tr>
      <w:tr>
        <w:tc>
          <w:tcPr/>
          <w:p>
            <w:pPr>
              <w:pStyle w:val="Compact"/>
            </w:pPr>
            <w:r>
              <w:t xml:space="preserve">Council</w:t>
            </w:r>
          </w:p>
        </w:tc>
        <w:tc>
          <w:tcPr/>
          <w:p>
            <w:pPr>
              <w:pStyle w:val="Compact"/>
            </w:pPr>
          </w:p>
        </w:tc>
      </w:tr>
      <w:tr>
        <w:tc>
          <w:tcPr/>
          <w:p>
            <w:pPr>
              <w:pStyle w:val="Compact"/>
            </w:pPr>
            <w:r>
              <w:t xml:space="preserve">GOVERN (GV), Policy</w:t>
            </w:r>
          </w:p>
        </w:tc>
        <w:tc>
          <w:tcPr/>
          <w:p>
            <w:pPr>
              <w:pStyle w:val="Compact"/>
            </w:pPr>
            <w:r>
              <w:t xml:space="preserve">TIPCL-1.0; Verification Provider accreditation agreement; Node</w:t>
            </w:r>
          </w:p>
        </w:tc>
      </w:tr>
      <w:tr>
        <w:tc>
          <w:tcPr/>
          <w:p>
            <w:pPr>
              <w:pStyle w:val="Compact"/>
            </w:pPr>
            <w:r>
              <w:t xml:space="preserve">Operator Agreement</w:t>
            </w:r>
          </w:p>
        </w:tc>
        <w:tc>
          <w:tcPr/>
          <w:p>
            <w:pPr>
              <w:pStyle w:val="Compact"/>
            </w:pPr>
          </w:p>
        </w:tc>
      </w:tr>
      <w:tr>
        <w:tc>
          <w:tcPr/>
          <w:p>
            <w:pPr>
              <w:pStyle w:val="Compact"/>
            </w:pPr>
            <w:r>
              <w:t xml:space="preserve">IDENTIFY (ID), Asset Management</w:t>
            </w:r>
          </w:p>
        </w:tc>
        <w:tc>
          <w:tcPr/>
          <w:p>
            <w:pPr>
              <w:pStyle w:val="Compact"/>
            </w:pPr>
            <w:r>
              <w:t xml:space="preserve">DAG record of registered Verification Providers and Node</w:t>
            </w:r>
          </w:p>
        </w:tc>
      </w:tr>
      <w:tr>
        <w:tc>
          <w:tcPr/>
          <w:p>
            <w:pPr>
              <w:pStyle w:val="Compact"/>
            </w:pPr>
            <w:r>
              <w:t xml:space="preserve">Operators</w:t>
            </w:r>
          </w:p>
        </w:tc>
        <w:tc>
          <w:tcPr/>
          <w:p>
            <w:pPr>
              <w:pStyle w:val="Compact"/>
            </w:pPr>
          </w:p>
        </w:tc>
      </w:tr>
      <w:tr>
        <w:tc>
          <w:tcPr/>
          <w:p>
            <w:pPr>
              <w:pStyle w:val="Compact"/>
            </w:pPr>
            <w:r>
              <w:t xml:space="preserve">IDENTIFY (ID), Risk Assessment</w:t>
            </w:r>
          </w:p>
        </w:tc>
        <w:tc>
          <w:tcPr/>
          <w:p>
            <w:pPr>
              <w:pStyle w:val="Compact"/>
            </w:pPr>
            <w:r>
              <w:t xml:space="preserve">Continuous monitoring of Trust Score and Blocking Items</w:t>
            </w:r>
          </w:p>
        </w:tc>
      </w:tr>
      <w:tr>
        <w:tc>
          <w:tcPr/>
          <w:p>
            <w:pPr>
              <w:pStyle w:val="Compact"/>
            </w:pPr>
            <w:r>
              <w:t xml:space="preserve">PROTECT (PR), Identity Management, Authentication, and Access</w:t>
            </w:r>
          </w:p>
        </w:tc>
        <w:tc>
          <w:tcPr/>
          <w:p>
            <w:pPr>
              <w:pStyle w:val="Compact"/>
            </w:pPr>
          </w:p>
        </w:tc>
      </w:tr>
      <w:tr>
        <w:tc>
          <w:tcPr/>
          <w:p>
            <w:pPr>
              <w:pStyle w:val="Compact"/>
            </w:pPr>
            <w:r>
              <w:t xml:space="preserve">Control</w:t>
            </w:r>
          </w:p>
        </w:tc>
        <w:tc>
          <w:tcPr/>
          <w:p>
            <w:pPr>
              <w:pStyle w:val="Compact"/>
            </w:pPr>
            <w:r>
              <w:t xml:space="preserve">CTID; ML-DSA-65 signatures; WebAuthn resident key</w:t>
            </w:r>
          </w:p>
        </w:tc>
      </w:tr>
      <w:tr>
        <w:tc>
          <w:tcPr/>
          <w:p>
            <w:pPr>
              <w:pStyle w:val="Compact"/>
            </w:pPr>
            <w:r>
              <w:t xml:space="preserve">PROTECT (PR), Awareness and Training</w:t>
            </w:r>
          </w:p>
        </w:tc>
        <w:tc>
          <w:tcPr/>
          <w:p>
            <w:pPr>
              <w:pStyle w:val="Compact"/>
            </w:pPr>
            <w:r>
              <w:t xml:space="preserve">AI literacy clauses in counterparty agreements</w:t>
            </w:r>
          </w:p>
        </w:tc>
      </w:tr>
      <w:tr>
        <w:tc>
          <w:tcPr/>
          <w:p>
            <w:pPr>
              <w:pStyle w:val="Compact"/>
            </w:pPr>
            <w:r>
              <w:t xml:space="preserve">PROTECT (PR), Data Security</w:t>
            </w:r>
          </w:p>
        </w:tc>
        <w:tc>
          <w:tcPr/>
          <w:p>
            <w:pPr>
              <w:pStyle w:val="Compact"/>
            </w:pPr>
            <w:r>
              <w:t xml:space="preserve">Post-quantum cryptographic primitives; pseudonymization</w:t>
            </w:r>
          </w:p>
        </w:tc>
      </w:tr>
      <w:tr>
        <w:tc>
          <w:tcPr/>
          <w:p>
            <w:pPr>
              <w:pStyle w:val="Compact"/>
            </w:pPr>
            <w:r>
              <w:t xml:space="preserve">PROTECT (PR), Information Protection Processes and Procedures</w:t>
            </w:r>
          </w:p>
        </w:tc>
        <w:tc>
          <w:tcPr/>
          <w:p>
            <w:pPr>
              <w:pStyle w:val="Compact"/>
            </w:pPr>
            <w:r>
              <w:t xml:space="preserve">Reference implementation security requirements</w:t>
            </w:r>
          </w:p>
        </w:tc>
      </w:tr>
      <w:tr>
        <w:tc>
          <w:tcPr/>
          <w:p>
            <w:pPr>
              <w:pStyle w:val="Compact"/>
            </w:pPr>
            <w:r>
              <w:t xml:space="preserve">PROTECT (PR), Maintenance</w:t>
            </w:r>
          </w:p>
        </w:tc>
        <w:tc>
          <w:tcPr/>
          <w:p>
            <w:pPr>
              <w:pStyle w:val="Compact"/>
            </w:pPr>
            <w:r>
              <w:t xml:space="preserve">Vulnerability handling process under Cyber Resilience Act</w:t>
            </w:r>
          </w:p>
        </w:tc>
      </w:tr>
      <w:tr>
        <w:tc>
          <w:tcPr/>
          <w:p>
            <w:pPr>
              <w:pStyle w:val="Compact"/>
            </w:pPr>
            <w:r>
              <w:t xml:space="preserve">compliance</w:t>
            </w:r>
          </w:p>
        </w:tc>
        <w:tc>
          <w:tcPr/>
          <w:p>
            <w:pPr>
              <w:pStyle w:val="Compact"/>
            </w:pPr>
          </w:p>
        </w:tc>
      </w:tr>
      <w:tr>
        <w:tc>
          <w:tcPr/>
          <w:p>
            <w:pPr>
              <w:pStyle w:val="Compact"/>
            </w:pPr>
            <w:r>
              <w:t xml:space="preserve">PROTECT (PR), Protective Technology</w:t>
            </w:r>
          </w:p>
        </w:tc>
        <w:tc>
          <w:tcPr/>
          <w:p>
            <w:pPr>
              <w:pStyle w:val="Compact"/>
            </w:pPr>
            <w:r>
              <w:t xml:space="preserve">Append-only DAG; warrant canary; bonded juror requirement</w:t>
            </w:r>
          </w:p>
        </w:tc>
      </w:tr>
      <w:tr>
        <w:tc>
          <w:tcPr/>
          <w:p>
            <w:pPr>
              <w:pStyle w:val="Compact"/>
            </w:pPr>
            <w:r>
              <w:t xml:space="preserve">DETECT (DE), Anomalies and Events</w:t>
            </w:r>
          </w:p>
        </w:tc>
        <w:tc>
          <w:tcPr/>
          <w:p>
            <w:pPr>
              <w:pStyle w:val="Compact"/>
            </w:pPr>
            <w:r>
              <w:t xml:space="preserve">Trust Score updates; Blocking Items</w:t>
            </w:r>
          </w:p>
        </w:tc>
      </w:tr>
      <w:tr>
        <w:tc>
          <w:tcPr/>
          <w:p>
            <w:pPr>
              <w:pStyle w:val="Compact"/>
            </w:pPr>
            <w:r>
              <w:t xml:space="preserve">DETECT (DE), Security Continuous Monitoring</w:t>
            </w:r>
          </w:p>
        </w:tc>
        <w:tc>
          <w:tcPr/>
          <w:p>
            <w:pPr>
              <w:pStyle w:val="Compact"/>
            </w:pPr>
            <w:r>
              <w:t xml:space="preserve">Annual Verification Provider audit</w:t>
            </w:r>
          </w:p>
        </w:tc>
      </w:tr>
      <w:tr>
        <w:tc>
          <w:tcPr/>
          <w:p>
            <w:pPr>
              <w:pStyle w:val="Compact"/>
            </w:pPr>
            <w:r>
              <w:t xml:space="preserve">DETECT (DE), Detection Processes</w:t>
            </w:r>
          </w:p>
        </w:tc>
        <w:tc>
          <w:tcPr/>
          <w:p>
            <w:pPr>
              <w:pStyle w:val="Compact"/>
            </w:pPr>
            <w:r>
              <w:t xml:space="preserve">Dispute reporting and adjudication pathway</w:t>
            </w:r>
          </w:p>
        </w:tc>
      </w:tr>
      <w:tr>
        <w:tc>
          <w:tcPr/>
          <w:p>
            <w:pPr>
              <w:pStyle w:val="Compact"/>
            </w:pPr>
            <w:r>
              <w:t xml:space="preserve">RESPOND (RS), Response Planning</w:t>
            </w:r>
          </w:p>
        </w:tc>
        <w:tc>
          <w:tcPr/>
          <w:p>
            <w:pPr>
              <w:pStyle w:val="Compact"/>
            </w:pPr>
            <w:r>
              <w:t xml:space="preserve">NIS2-aligned incident response timelines in counterparty</w:t>
            </w:r>
          </w:p>
        </w:tc>
      </w:tr>
      <w:tr>
        <w:tc>
          <w:tcPr/>
          <w:p>
            <w:pPr>
              <w:pStyle w:val="Compact"/>
            </w:pPr>
            <w:r>
              <w:t xml:space="preserve">agreements</w:t>
            </w:r>
          </w:p>
        </w:tc>
        <w:tc>
          <w:tcPr/>
          <w:p>
            <w:pPr>
              <w:pStyle w:val="Compact"/>
            </w:pPr>
          </w:p>
        </w:tc>
      </w:tr>
      <w:tr>
        <w:tc>
          <w:tcPr/>
          <w:p>
            <w:pPr>
              <w:pStyle w:val="Compact"/>
            </w:pPr>
            <w:r>
              <w:t xml:space="preserve">RESPOND (RS), Communications</w:t>
            </w:r>
          </w:p>
        </w:tc>
        <w:tc>
          <w:tcPr/>
          <w:p>
            <w:pPr>
              <w:pStyle w:val="Compact"/>
            </w:pPr>
            <w:r>
              <w:t xml:space="preserve">Notification obligations under counterparty agreements</w:t>
            </w:r>
          </w:p>
        </w:tc>
      </w:tr>
      <w:tr>
        <w:tc>
          <w:tcPr/>
          <w:p>
            <w:pPr>
              <w:pStyle w:val="Compact"/>
            </w:pPr>
            <w:r>
              <w:t xml:space="preserve">RESPOND (RS), Analysis</w:t>
            </w:r>
          </w:p>
        </w:tc>
        <w:tc>
          <w:tcPr/>
          <w:p>
            <w:pPr>
              <w:pStyle w:val="Compact"/>
            </w:pPr>
            <w:r>
              <w:t xml:space="preserve">Bonded juror adjudication of disputes</w:t>
            </w:r>
          </w:p>
        </w:tc>
      </w:tr>
      <w:tr>
        <w:tc>
          <w:tcPr/>
          <w:p>
            <w:pPr>
              <w:pStyle w:val="Compact"/>
            </w:pPr>
            <w:r>
              <w:t xml:space="preserve">RESPOND (RS), Mitigation</w:t>
            </w:r>
          </w:p>
        </w:tc>
        <w:tc>
          <w:tcPr/>
          <w:p>
            <w:pPr>
              <w:pStyle w:val="Compact"/>
            </w:pPr>
            <w:r>
              <w:t xml:space="preserve">Suspension and revocation of CTIDs; Verification Provider</w:t>
            </w:r>
          </w:p>
        </w:tc>
      </w:tr>
      <w:tr>
        <w:tc>
          <w:tcPr/>
          <w:p>
            <w:pPr>
              <w:pStyle w:val="Compact"/>
            </w:pPr>
            <w:r>
              <w:t xml:space="preserve">accreditation suspension</w:t>
            </w:r>
          </w:p>
        </w:tc>
        <w:tc>
          <w:tcPr/>
          <w:p>
            <w:pPr>
              <w:pStyle w:val="Compact"/>
            </w:pPr>
          </w:p>
        </w:tc>
      </w:tr>
      <w:tr>
        <w:tc>
          <w:tcPr/>
          <w:p>
            <w:pPr>
              <w:pStyle w:val="Compact"/>
            </w:pPr>
            <w:r>
              <w:t xml:space="preserve">RECOVER (RC), Recovery Planning</w:t>
            </w:r>
          </w:p>
        </w:tc>
        <w:tc>
          <w:tcPr/>
          <w:p>
            <w:pPr>
              <w:pStyle w:val="Compact"/>
            </w:pPr>
            <w:r>
              <w:t xml:space="preserve">Multi-region federated DAG</w:t>
            </w:r>
          </w:p>
        </w:tc>
      </w:tr>
      <w:tr>
        <w:tc>
          <w:tcPr/>
          <w:p>
            <w:pPr>
              <w:pStyle w:val="Compact"/>
            </w:pPr>
            <w:r>
              <w:t xml:space="preserve">RECOVER (RC), Improvements</w:t>
            </w:r>
          </w:p>
        </w:tc>
        <w:tc>
          <w:tcPr/>
          <w:p>
            <w:pPr>
              <w:pStyle w:val="Compact"/>
            </w:pPr>
            <w:r>
              <w:t xml:space="preserve">AI Trust Council ratification of post-incident protocol</w:t>
            </w:r>
          </w:p>
        </w:tc>
      </w:tr>
      <w:tr>
        <w:tc>
          <w:tcPr/>
          <w:p>
            <w:pPr>
              <w:pStyle w:val="Compact"/>
            </w:pPr>
            <w:r>
              <w:t xml:space="preserve">amendments</w:t>
            </w:r>
          </w:p>
        </w:tc>
        <w:tc>
          <w:tcPr/>
          <w:p>
            <w:pPr>
              <w:pStyle w:val="Compact"/>
            </w:pPr>
          </w:p>
        </w:tc>
      </w:tr>
      <w:tr>
        <w:tc>
          <w:tcPr/>
          <w:p>
            <w:pPr>
              <w:pStyle w:val="Compact"/>
            </w:pPr>
            <w:r>
              <w:t xml:space="preserve">RECOVER (RC), Communications</w:t>
            </w:r>
          </w:p>
        </w:tc>
        <w:tc>
          <w:tcPr/>
          <w:p>
            <w:pPr>
              <w:pStyle w:val="Compact"/>
            </w:pPr>
            <w:r>
              <w:t xml:space="preserve">Transparency report published annually by the AI Trust Council</w:t>
            </w:r>
          </w:p>
        </w:tc>
      </w:tr>
    </w:tbl>
    <w:bookmarkEnd w:id="295"/>
    <w:bookmarkStart w:id="296" w:name="e.3-nist-ai-risk-management-framework"/>
    <w:p>
      <w:pPr>
        <w:pStyle w:val="Heading2"/>
      </w:pPr>
      <w:r>
        <w:t xml:space="preserve">E.3 NIST AI Risk Management Framework</w:t>
      </w:r>
    </w:p>
    <w:p>
      <w:pPr>
        <w:pStyle w:val="FirstParagraph"/>
      </w:pPr>
      <w:r>
        <w:t xml:space="preserve">The NIST AI RMF organizes guidance into four functions: GOVERN, MAP,</w:t>
      </w:r>
      <w:r>
        <w:t xml:space="preserve"> </w:t>
      </w:r>
      <w:r>
        <w:t xml:space="preserve">MEASURE, MANAGE. The following table maps the principal subcategories to</w:t>
      </w:r>
      <w:r>
        <w:t xml:space="preserve"> </w:t>
      </w:r>
      <w:r>
        <w:t xml:space="preserve">TIP controls.</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NIST AI RMF subcategory</w:t>
            </w:r>
          </w:p>
        </w:tc>
        <w:tc>
          <w:tcPr/>
          <w:p>
            <w:pPr>
              <w:pStyle w:val="Compact"/>
            </w:pPr>
            <w:r>
              <w:t xml:space="preserve">TIP architectural support</w:t>
            </w:r>
          </w:p>
        </w:tc>
      </w:tr>
      <w:tr>
        <w:tc>
          <w:tcPr/>
          <w:p>
            <w:pPr>
              <w:pStyle w:val="Compact"/>
            </w:pPr>
            <w:r>
              <w:t xml:space="preserve">GOVERN 1.1 Legal and regulatory requirements understood and</w:t>
            </w:r>
          </w:p>
        </w:tc>
        <w:tc>
          <w:tcPr/>
          <w:p>
            <w:pPr>
              <w:pStyle w:val="Compact"/>
            </w:pPr>
          </w:p>
        </w:tc>
      </w:tr>
      <w:tr>
        <w:tc>
          <w:tcPr/>
          <w:p>
            <w:pPr>
              <w:pStyle w:val="Compact"/>
            </w:pPr>
            <w:r>
              <w:t xml:space="preserve">managed</w:t>
            </w:r>
          </w:p>
        </w:tc>
        <w:tc>
          <w:tcPr/>
          <w:p>
            <w:pPr>
              <w:pStyle w:val="Compact"/>
            </w:pPr>
            <w:r>
              <w:t xml:space="preserve">Part IX and Appendix E of this whitepaper</w:t>
            </w:r>
          </w:p>
        </w:tc>
      </w:tr>
      <w:tr>
        <w:tc>
          <w:tcPr/>
          <w:p>
            <w:pPr>
              <w:pStyle w:val="Compact"/>
            </w:pPr>
            <w:r>
              <w:t xml:space="preserve">GOVERN 1.2 The characteristics of trustworthy AI are integrated</w:t>
            </w:r>
          </w:p>
        </w:tc>
        <w:tc>
          <w:tcPr/>
          <w:p>
            <w:pPr>
              <w:pStyle w:val="Compact"/>
            </w:pPr>
          </w:p>
        </w:tc>
      </w:tr>
      <w:tr>
        <w:tc>
          <w:tcPr/>
          <w:p>
            <w:pPr>
              <w:pStyle w:val="Compact"/>
            </w:pPr>
            <w:r>
              <w:t xml:space="preserve">into</w:t>
            </w:r>
          </w:p>
        </w:tc>
        <w:tc>
          <w:tcPr/>
          <w:p>
            <w:pPr>
              <w:pStyle w:val="Compact"/>
            </w:pPr>
          </w:p>
        </w:tc>
      </w:tr>
      <w:tr>
        <w:tc>
          <w:tcPr/>
          <w:p>
            <w:pPr>
              <w:pStyle w:val="Compact"/>
            </w:pPr>
            <w:r>
              <w:t xml:space="preserve">organizational policies</w:t>
            </w:r>
          </w:p>
        </w:tc>
        <w:tc>
          <w:tcPr/>
          <w:p>
            <w:pPr>
              <w:pStyle w:val="Compact"/>
            </w:pPr>
            <w:r>
              <w:t xml:space="preserve">TIPCL-1.0 and AI Trust Council Charter</w:t>
            </w:r>
          </w:p>
        </w:tc>
      </w:tr>
      <w:tr>
        <w:tc>
          <w:tcPr/>
          <w:p>
            <w:pPr>
              <w:pStyle w:val="Compact"/>
            </w:pPr>
            <w:r>
              <w:t xml:space="preserve">GOVERN 1.4 The risk management process and its outcomes are</w:t>
            </w:r>
          </w:p>
        </w:tc>
        <w:tc>
          <w:tcPr/>
          <w:p>
            <w:pPr>
              <w:pStyle w:val="Compact"/>
            </w:pPr>
          </w:p>
        </w:tc>
      </w:tr>
      <w:tr>
        <w:tc>
          <w:tcPr/>
          <w:p>
            <w:pPr>
              <w:pStyle w:val="Compact"/>
            </w:pPr>
            <w:r>
              <w:t xml:space="preserve">established through transparent policies</w:t>
            </w:r>
          </w:p>
        </w:tc>
        <w:tc>
          <w:tcPr/>
          <w:p>
            <w:pPr>
              <w:pStyle w:val="Compact"/>
            </w:pPr>
            <w:r>
              <w:t xml:space="preserve">TIPCL-1.0 published; AI Trust Council transparency report</w:t>
            </w:r>
          </w:p>
        </w:tc>
      </w:tr>
      <w:tr>
        <w:tc>
          <w:tcPr/>
          <w:p>
            <w:pPr>
              <w:pStyle w:val="Compact"/>
            </w:pPr>
            <w:r>
              <w:t xml:space="preserve">GOVERN 1.6 Mechanisms are in place to inventory AI systems</w:t>
            </w:r>
          </w:p>
        </w:tc>
        <w:tc>
          <w:tcPr/>
          <w:p>
            <w:pPr>
              <w:pStyle w:val="Compact"/>
            </w:pPr>
            <w:r>
              <w:t xml:space="preserve">DAG record of Verification Providers and Node Operators</w:t>
            </w:r>
          </w:p>
        </w:tc>
      </w:tr>
      <w:tr>
        <w:tc>
          <w:tcPr/>
          <w:p>
            <w:pPr>
              <w:pStyle w:val="Compact"/>
            </w:pPr>
            <w:r>
              <w:t xml:space="preserve">GOVERN 4.1 Organizational policies and practices are in place</w:t>
            </w:r>
          </w:p>
        </w:tc>
        <w:tc>
          <w:tcPr/>
          <w:p>
            <w:pPr>
              <w:pStyle w:val="Compact"/>
            </w:pPr>
          </w:p>
        </w:tc>
      </w:tr>
      <w:tr>
        <w:tc>
          <w:tcPr/>
          <w:p>
            <w:pPr>
              <w:pStyle w:val="Compact"/>
            </w:pPr>
            <w:r>
              <w:t xml:space="preserve">to</w:t>
            </w:r>
          </w:p>
        </w:tc>
        <w:tc>
          <w:tcPr/>
          <w:p>
            <w:pPr>
              <w:pStyle w:val="Compact"/>
            </w:pPr>
          </w:p>
        </w:tc>
      </w:tr>
      <w:tr>
        <w:tc>
          <w:tcPr/>
          <w:p>
            <w:pPr>
              <w:pStyle w:val="Compact"/>
            </w:pPr>
            <w:r>
              <w:t xml:space="preserve">foster a critical thinking culture</w:t>
            </w:r>
          </w:p>
        </w:tc>
        <w:tc>
          <w:tcPr/>
          <w:p>
            <w:pPr>
              <w:pStyle w:val="Compact"/>
            </w:pPr>
            <w:r>
              <w:t xml:space="preserve">AI literacy clauses</w:t>
            </w:r>
          </w:p>
        </w:tc>
      </w:tr>
      <w:tr>
        <w:tc>
          <w:tcPr/>
          <w:p>
            <w:pPr>
              <w:pStyle w:val="Compact"/>
            </w:pPr>
            <w:r>
              <w:t xml:space="preserve">MAP 1.1 Intended purposes, prospective settings, etc. understood</w:t>
            </w:r>
          </w:p>
        </w:tc>
        <w:tc>
          <w:tcPr/>
          <w:p>
            <w:pPr>
              <w:pStyle w:val="Compact"/>
            </w:pPr>
          </w:p>
        </w:tc>
      </w:tr>
      <w:tr>
        <w:tc>
          <w:tcPr/>
          <w:p>
            <w:pPr>
              <w:pStyle w:val="Compact"/>
            </w:pPr>
            <w:r>
              <w:t xml:space="preserve">and</w:t>
            </w:r>
          </w:p>
        </w:tc>
        <w:tc>
          <w:tcPr/>
          <w:p>
            <w:pPr>
              <w:pStyle w:val="Compact"/>
            </w:pPr>
          </w:p>
        </w:tc>
      </w:tr>
      <w:tr>
        <w:tc>
          <w:tcPr/>
          <w:p>
            <w:pPr>
              <w:pStyle w:val="Compact"/>
            </w:pPr>
            <w:r>
              <w:t xml:space="preserve">documented</w:t>
            </w:r>
          </w:p>
        </w:tc>
        <w:tc>
          <w:tcPr/>
          <w:p>
            <w:pPr>
              <w:pStyle w:val="Compact"/>
            </w:pPr>
            <w:r>
              <w:t xml:space="preserve">Part I and Part XI of this whitepaper</w:t>
            </w:r>
          </w:p>
        </w:tc>
      </w:tr>
      <w:tr>
        <w:tc>
          <w:tcPr/>
          <w:p>
            <w:pPr>
              <w:pStyle w:val="Compact"/>
            </w:pPr>
            <w:r>
              <w:t xml:space="preserve">MAP 2.3 Scientific integrity and TEVV considerations</w:t>
            </w:r>
          </w:p>
        </w:tc>
        <w:tc>
          <w:tcPr/>
          <w:p>
            <w:pPr>
              <w:pStyle w:val="Compact"/>
            </w:pPr>
            <w:r>
              <w:t xml:space="preserve">Reference implementation test vectors; CNA-2.2 deterministic</w:t>
            </w:r>
          </w:p>
        </w:tc>
      </w:tr>
      <w:tr>
        <w:tc>
          <w:tcPr/>
          <w:p>
            <w:pPr>
              <w:pStyle w:val="Compact"/>
            </w:pPr>
            <w:r>
              <w:t xml:space="preserve">specification</w:t>
            </w:r>
          </w:p>
        </w:tc>
        <w:tc>
          <w:tcPr/>
          <w:p>
            <w:pPr>
              <w:pStyle w:val="Compact"/>
            </w:pPr>
          </w:p>
        </w:tc>
      </w:tr>
      <w:tr>
        <w:tc>
          <w:tcPr/>
          <w:p>
            <w:pPr>
              <w:pStyle w:val="Compact"/>
            </w:pPr>
            <w:r>
              <w:t xml:space="preserve">MAP 3.4 Processes for operator and practitioner proficiency</w:t>
            </w:r>
          </w:p>
        </w:tc>
        <w:tc>
          <w:tcPr/>
          <w:p>
            <w:pPr>
              <w:pStyle w:val="Compact"/>
            </w:pPr>
            <w:r>
              <w:t xml:space="preserve">AI literacy clauses; Verification Provider audit</w:t>
            </w:r>
          </w:p>
        </w:tc>
      </w:tr>
      <w:tr>
        <w:tc>
          <w:tcPr/>
          <w:p>
            <w:pPr>
              <w:pStyle w:val="Compact"/>
            </w:pPr>
            <w:r>
              <w:t xml:space="preserve">MAP 4.1 Approaches for mapping AI technology and legal risks of</w:t>
            </w:r>
          </w:p>
        </w:tc>
        <w:tc>
          <w:tcPr/>
          <w:p>
            <w:pPr>
              <w:pStyle w:val="Compact"/>
            </w:pPr>
          </w:p>
        </w:tc>
      </w:tr>
      <w:tr>
        <w:tc>
          <w:tcPr/>
          <w:p>
            <w:pPr>
              <w:pStyle w:val="Compact"/>
            </w:pPr>
            <w:r>
              <w:t xml:space="preserve">its</w:t>
            </w:r>
          </w:p>
        </w:tc>
        <w:tc>
          <w:tcPr/>
          <w:p>
            <w:pPr>
              <w:pStyle w:val="Compact"/>
            </w:pPr>
          </w:p>
        </w:tc>
      </w:tr>
      <w:tr>
        <w:tc>
          <w:tcPr/>
          <w:p>
            <w:pPr>
              <w:pStyle w:val="Compact"/>
            </w:pPr>
            <w:r>
              <w:t xml:space="preserve">components</w:t>
            </w:r>
          </w:p>
        </w:tc>
        <w:tc>
          <w:tcPr/>
          <w:p>
            <w:pPr>
              <w:pStyle w:val="Compact"/>
            </w:pPr>
            <w:r>
              <w:t xml:space="preserve">Patent license under TIPCL-1.0 Section 8; defensive termination</w:t>
            </w:r>
          </w:p>
        </w:tc>
      </w:tr>
      <w:tr>
        <w:tc>
          <w:tcPr/>
          <w:p>
            <w:pPr>
              <w:pStyle w:val="Compact"/>
            </w:pPr>
            <w:r>
              <w:t xml:space="preserve">provision</w:t>
            </w:r>
          </w:p>
        </w:tc>
        <w:tc>
          <w:tcPr/>
          <w:p>
            <w:pPr>
              <w:pStyle w:val="Compact"/>
            </w:pPr>
          </w:p>
        </w:tc>
      </w:tr>
      <w:tr>
        <w:tc>
          <w:tcPr/>
          <w:p>
            <w:pPr>
              <w:pStyle w:val="Compact"/>
            </w:pPr>
            <w:r>
              <w:t xml:space="preserve">MEASURE 1.1 Approaches and metrics for measurement of AI risks</w:t>
            </w:r>
          </w:p>
        </w:tc>
        <w:tc>
          <w:tcPr/>
          <w:p>
            <w:pPr>
              <w:pStyle w:val="Compact"/>
            </w:pPr>
            <w:r>
              <w:t xml:space="preserve">Trust Score sub-scores; Blocking Items</w:t>
            </w:r>
          </w:p>
        </w:tc>
      </w:tr>
      <w:tr>
        <w:tc>
          <w:tcPr/>
          <w:p>
            <w:pPr>
              <w:pStyle w:val="Compact"/>
            </w:pPr>
            <w:r>
              <w:t xml:space="preserve">MEASURE 2.7 AI system security and resilience</w:t>
            </w:r>
          </w:p>
        </w:tc>
        <w:tc>
          <w:tcPr/>
          <w:p>
            <w:pPr>
              <w:pStyle w:val="Compact"/>
            </w:pPr>
            <w:r>
              <w:t xml:space="preserve">Post-quantum primitives; cryptographic adversarial robustness</w:t>
            </w:r>
          </w:p>
        </w:tc>
      </w:tr>
      <w:tr>
        <w:tc>
          <w:tcPr/>
          <w:p>
            <w:pPr>
              <w:pStyle w:val="Compact"/>
            </w:pPr>
            <w:r>
              <w:t xml:space="preserve">analysis</w:t>
            </w:r>
          </w:p>
        </w:tc>
        <w:tc>
          <w:tcPr/>
          <w:p>
            <w:pPr>
              <w:pStyle w:val="Compact"/>
            </w:pPr>
          </w:p>
        </w:tc>
      </w:tr>
      <w:tr>
        <w:tc>
          <w:tcPr/>
          <w:p>
            <w:pPr>
              <w:pStyle w:val="Compact"/>
            </w:pPr>
            <w:r>
              <w:t xml:space="preserve">MEASURE 2.8 Risks associated with transparency and</w:t>
            </w:r>
          </w:p>
        </w:tc>
        <w:tc>
          <w:tcPr/>
          <w:p>
            <w:pPr>
              <w:pStyle w:val="Compact"/>
            </w:pPr>
          </w:p>
        </w:tc>
      </w:tr>
      <w:tr>
        <w:tc>
          <w:tcPr/>
          <w:p>
            <w:pPr>
              <w:pStyle w:val="Compact"/>
            </w:pPr>
            <w:r>
              <w:t xml:space="preserve">accountability</w:t>
            </w:r>
          </w:p>
        </w:tc>
        <w:tc>
          <w:tcPr/>
          <w:p>
            <w:pPr>
              <w:pStyle w:val="Compact"/>
            </w:pPr>
            <w:r>
              <w:t xml:space="preserve">Audit trail through append-only DAG</w:t>
            </w:r>
          </w:p>
        </w:tc>
      </w:tr>
      <w:tr>
        <w:tc>
          <w:tcPr/>
          <w:p>
            <w:pPr>
              <w:pStyle w:val="Compact"/>
            </w:pPr>
            <w:r>
              <w:t xml:space="preserve">MEASURE 3.2 Risk tracking approaches</w:t>
            </w:r>
          </w:p>
        </w:tc>
        <w:tc>
          <w:tcPr/>
          <w:p>
            <w:pPr>
              <w:pStyle w:val="Compact"/>
            </w:pPr>
            <w:r>
              <w:t xml:space="preserve">Trust Score evolution recorded on DAG</w:t>
            </w:r>
          </w:p>
        </w:tc>
      </w:tr>
      <w:tr>
        <w:tc>
          <w:tcPr/>
          <w:p>
            <w:pPr>
              <w:pStyle w:val="Compact"/>
            </w:pPr>
            <w:r>
              <w:t xml:space="preserve">MANAGE 1.2 Treatment of documented AI risks</w:t>
            </w:r>
          </w:p>
        </w:tc>
        <w:tc>
          <w:tcPr/>
          <w:p>
            <w:pPr>
              <w:pStyle w:val="Compact"/>
            </w:pPr>
            <w:r>
              <w:t xml:space="preserve">Suspension, revocation, dispute pathways</w:t>
            </w:r>
          </w:p>
        </w:tc>
      </w:tr>
      <w:tr>
        <w:tc>
          <w:tcPr/>
          <w:p>
            <w:pPr>
              <w:pStyle w:val="Compact"/>
            </w:pPr>
            <w:r>
              <w:t xml:space="preserve">MANAGE 2.2 Mechanisms for sustaining the value of deployed AI</w:t>
            </w:r>
          </w:p>
        </w:tc>
        <w:tc>
          <w:tcPr/>
          <w:p>
            <w:pPr>
              <w:pStyle w:val="Compact"/>
            </w:pPr>
          </w:p>
        </w:tc>
      </w:tr>
      <w:tr>
        <w:tc>
          <w:tcPr/>
          <w:p>
            <w:pPr>
              <w:pStyle w:val="Compact"/>
            </w:pPr>
            <w:r>
              <w:t xml:space="preserve">systems</w:t>
            </w:r>
          </w:p>
        </w:tc>
        <w:tc>
          <w:tcPr/>
          <w:p>
            <w:pPr>
              <w:pStyle w:val="Compact"/>
            </w:pPr>
            <w:r>
              <w:t xml:space="preserve">Apache 2.0 conversion provision; AI Trust Council Charter</w:t>
            </w:r>
          </w:p>
        </w:tc>
      </w:tr>
      <w:tr>
        <w:tc>
          <w:tcPr/>
          <w:p>
            <w:pPr>
              <w:pStyle w:val="Compact"/>
            </w:pPr>
            <w:r>
              <w:t xml:space="preserve">MANAGE 2.4 Mechanisms for superseding, disengaging, or</w:t>
            </w:r>
          </w:p>
        </w:tc>
        <w:tc>
          <w:tcPr/>
          <w:p>
            <w:pPr>
              <w:pStyle w:val="Compact"/>
            </w:pPr>
          </w:p>
        </w:tc>
      </w:tr>
      <w:tr>
        <w:tc>
          <w:tcPr/>
          <w:p>
            <w:pPr>
              <w:pStyle w:val="Compact"/>
            </w:pPr>
            <w:r>
              <w:t xml:space="preserve">deactivating</w:t>
            </w:r>
          </w:p>
        </w:tc>
        <w:tc>
          <w:tcPr/>
          <w:p>
            <w:pPr>
              <w:pStyle w:val="Compact"/>
            </w:pPr>
          </w:p>
        </w:tc>
      </w:tr>
      <w:tr>
        <w:tc>
          <w:tcPr/>
          <w:p>
            <w:pPr>
              <w:pStyle w:val="Compact"/>
            </w:pPr>
            <w:r>
              <w:t xml:space="preserve">AI systems</w:t>
            </w:r>
          </w:p>
        </w:tc>
        <w:tc>
          <w:tcPr/>
          <w:p>
            <w:pPr>
              <w:pStyle w:val="Compact"/>
            </w:pPr>
            <w:r>
              <w:t xml:space="preserve">Verification Provider accreditation revocation</w:t>
            </w:r>
          </w:p>
        </w:tc>
      </w:tr>
      <w:tr>
        <w:tc>
          <w:tcPr/>
          <w:p>
            <w:pPr>
              <w:pStyle w:val="Compact"/>
            </w:pPr>
            <w:r>
              <w:t xml:space="preserve">MANAGE 4.1 Post-deployment AI system monitoring plans</w:t>
            </w:r>
          </w:p>
        </w:tc>
        <w:tc>
          <w:tcPr/>
          <w:p>
            <w:pPr>
              <w:pStyle w:val="Compact"/>
            </w:pPr>
            <w:r>
              <w:t xml:space="preserve">Annual Verification Provider audit; AI Trust Council</w:t>
            </w:r>
          </w:p>
        </w:tc>
      </w:tr>
      <w:tr>
        <w:tc>
          <w:tcPr/>
          <w:p>
            <w:pPr>
              <w:pStyle w:val="Compact"/>
            </w:pPr>
            <w:r>
              <w:t xml:space="preserve">transparency</w:t>
            </w:r>
          </w:p>
        </w:tc>
        <w:tc>
          <w:tcPr/>
          <w:p>
            <w:pPr>
              <w:pStyle w:val="Compact"/>
            </w:pPr>
          </w:p>
        </w:tc>
      </w:tr>
      <w:tr>
        <w:tc>
          <w:tcPr/>
          <w:p>
            <w:pPr>
              <w:pStyle w:val="Compact"/>
            </w:pPr>
            <w:r>
              <w:t xml:space="preserve">report</w:t>
            </w:r>
          </w:p>
        </w:tc>
        <w:tc>
          <w:tcPr/>
          <w:p>
            <w:pPr>
              <w:pStyle w:val="Compact"/>
            </w:pPr>
          </w:p>
        </w:tc>
      </w:tr>
    </w:tbl>
    <w:bookmarkEnd w:id="296"/>
    <w:bookmarkStart w:id="297" w:name="e.4-oecd-ai-principles"/>
    <w:p>
      <w:pPr>
        <w:pStyle w:val="Heading2"/>
      </w:pPr>
      <w:r>
        <w:t xml:space="preserve">E.4 OECD AI Principles</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OECD Principle</w:t>
            </w:r>
          </w:p>
        </w:tc>
        <w:tc>
          <w:tcPr/>
          <w:p>
            <w:pPr>
              <w:pStyle w:val="Compact"/>
            </w:pPr>
            <w:r>
              <w:t xml:space="preserve">TIP architectural support</w:t>
            </w:r>
          </w:p>
        </w:tc>
      </w:tr>
      <w:tr>
        <w:tc>
          <w:tcPr/>
          <w:p>
            <w:pPr>
              <w:pStyle w:val="Compact"/>
            </w:pPr>
            <w:r>
              <w:t xml:space="preserve">Inclusive growth, sustainable development and well-being</w:t>
            </w:r>
          </w:p>
        </w:tc>
        <w:tc>
          <w:tcPr/>
          <w:p>
            <w:pPr>
              <w:pStyle w:val="Compact"/>
            </w:pPr>
            <w:r>
              <w:t xml:space="preserve">Free Tier eligibility for individuals under US$100,000 revenue,</w:t>
            </w:r>
          </w:p>
        </w:tc>
      </w:tr>
    </w:tbl>
    <w:p>
      <w:pPr>
        <w:pStyle w:val="BodyText"/>
      </w:pPr>
      <w:r>
        <w:t xml:space="preserve">nonprofits, educational institutions, government, journalism (Part</w:t>
      </w:r>
      <w:r>
        <w:t xml:space="preserve"> </w:t>
      </w:r>
      <w:r>
        <w:t xml:space="preserve">X.10.3.1) | | Respect for the rule of law, human rights and democratic</w:t>
      </w:r>
      <w:r>
        <w:t xml:space="preserve"> </w:t>
      </w:r>
      <w:r>
        <w:t xml:space="preserve">values, including fairness and privacy | Architectural commitment to</w:t>
      </w:r>
      <w:r>
        <w:t xml:space="preserve"> </w:t>
      </w:r>
      <w:r>
        <w:t xml:space="preserve">pseudonymity; biometric template never leaves device; Article 5(1)(c)</w:t>
      </w:r>
      <w:r>
        <w:t xml:space="preserve"> </w:t>
      </w:r>
      <w:r>
        <w:t xml:space="preserve">social scoring disclaimer; Council of Europe Framework Convention</w:t>
      </w:r>
      <w:r>
        <w:t xml:space="preserve"> </w:t>
      </w:r>
      <w:r>
        <w:t xml:space="preserve">alignment | | Transparency and explainability | Normative definition of</w:t>
      </w:r>
      <w:r>
        <w:t xml:space="preserve"> </w:t>
      </w:r>
      <w:r>
        <w:t xml:space="preserve">Trust Score sub-scores and Origin Codes; published CNA-2.2</w:t>
      </w:r>
      <w:r>
        <w:t xml:space="preserve"> </w:t>
      </w:r>
      <w:r>
        <w:t xml:space="preserve">specification; AI Trust Council transparency report | | Robustness,</w:t>
      </w:r>
      <w:r>
        <w:t xml:space="preserve"> </w:t>
      </w:r>
      <w:r>
        <w:t xml:space="preserve">security and safety | NIST FIPS 203/204/205 post-quantum primitives;</w:t>
      </w:r>
      <w:r>
        <w:t xml:space="preserve"> </w:t>
      </w:r>
      <w:r>
        <w:t xml:space="preserve">warrant canary; bonded juror requirement | | Accountability | TIPCL-1.0</w:t>
      </w:r>
      <w:r>
        <w:t xml:space="preserve"> </w:t>
      </w:r>
      <w:r>
        <w:t xml:space="preserve">attribution requirement; Verification Provider audit; AI Trust Council</w:t>
      </w:r>
      <w:r>
        <w:t xml:space="preserve"> </w:t>
      </w:r>
      <w:r>
        <w:t xml:space="preserve">ratification |</w:t>
      </w:r>
    </w:p>
    <w:p>
      <w:r>
        <w:pict>
          <v:rect style="width:0;height:1.5pt" o:hralign="center" o:hrstd="t" o:hr="t"/>
        </w:pict>
      </w:r>
    </w:p>
    <w:p>
      <w:pPr>
        <w:pStyle w:val="FirstParagraph"/>
      </w:pPr>
      <w:r>
        <w:rPr>
          <w:b/>
          <w:bCs/>
        </w:rPr>
        <w:t xml:space="preserve">Contact The AI Lab regarding the Compliance</w:t>
      </w:r>
      <w:r>
        <w:rPr>
          <w:b/>
          <w:bCs/>
        </w:rPr>
        <w:t xml:space="preserve"> </w:t>
      </w:r>
      <w:r>
        <w:rPr>
          <w:b/>
          <w:bCs/>
        </w:rPr>
        <w:t xml:space="preserve">Crosswalk</w:t>
      </w:r>
    </w:p>
    <w:p>
      <w:pPr>
        <w:pStyle w:val="BodyText"/>
      </w:pPr>
      <w:r>
        <w:t xml:space="preserve">General Counsel:</w:t>
      </w:r>
      <w:r>
        <w:t xml:space="preserve"> </w:t>
      </w:r>
      <w:r>
        <w:rPr>
          <w:rStyle w:val="VerbatimChar"/>
        </w:rPr>
        <w:t xml:space="preserve">legal@theailab.org</w:t>
      </w:r>
      <w:r>
        <w:t xml:space="preserve"> </w:t>
      </w:r>
      <w:r>
        <w:t xml:space="preserve">Conformance</w:t>
      </w:r>
      <w:r>
        <w:t xml:space="preserve"> </w:t>
      </w:r>
      <w:r>
        <w:t xml:space="preserve">Inquiries:</w:t>
      </w:r>
      <w:r>
        <w:t xml:space="preserve"> </w:t>
      </w:r>
      <w:r>
        <w:rPr>
          <w:rStyle w:val="VerbatimChar"/>
        </w:rPr>
        <w:t xml:space="preserve">compliance@theailab.org</w:t>
      </w:r>
    </w:p>
    <w:p>
      <w:pPr>
        <w:pStyle w:val="BodyText"/>
      </w:pPr>
      <w:r>
        <w:t xml:space="preserve">The AI Lab Intelligence Unobscured, Inc. Wilmington, Delaware, United</w:t>
      </w:r>
      <w:r>
        <w:t xml:space="preserve"> </w:t>
      </w:r>
      <w:r>
        <w:t xml:space="preserve">States.</w:t>
      </w:r>
    </w:p>
    <w:bookmarkEnd w:id="297"/>
    <w:bookmarkEnd w:id="298"/>
    <w:bookmarkStart w:id="310" w:name="appendix-f-tipcl-1.0-license-summary"/>
    <w:p>
      <w:pPr>
        <w:pStyle w:val="Heading1"/>
      </w:pPr>
      <w:r>
        <w:t xml:space="preserve">Appendix F: TIPCL-1.0 License Summary</w:t>
      </w:r>
    </w:p>
    <w:p>
      <w:pPr>
        <w:pStyle w:val="FirstParagraph"/>
      </w:pPr>
      <w:r>
        <w:t xml:space="preserve">This Appendix provides a structured summary of the TIP Protocol Code</w:t>
      </w:r>
      <w:r>
        <w:t xml:space="preserve"> </w:t>
      </w:r>
      <w:r>
        <w:t xml:space="preserve">License, Version 1.0 (“TIPCL-1.0”). The operative text of TIPCL-1.0 is</w:t>
      </w:r>
      <w:r>
        <w:t xml:space="preserve"> </w:t>
      </w:r>
      <w:r>
        <w:t xml:space="preserve">published at theailab.org/tip-license. In the event of any inconsistency</w:t>
      </w:r>
      <w:r>
        <w:t xml:space="preserve"> </w:t>
      </w:r>
      <w:r>
        <w:t xml:space="preserve">between this summary and the operative text, the operative text</w:t>
      </w:r>
      <w:r>
        <w:t xml:space="preserve"> </w:t>
      </w:r>
      <w:r>
        <w:t xml:space="preserve">controls.</w:t>
      </w:r>
    </w:p>
    <w:bookmarkStart w:id="299" w:name="f.1-scope-of-license"/>
    <w:p>
      <w:pPr>
        <w:pStyle w:val="Heading2"/>
      </w:pPr>
      <w:r>
        <w:t xml:space="preserve">F.1 Scope of license</w:t>
      </w:r>
    </w:p>
    <w:p>
      <w:pPr>
        <w:pStyle w:val="FirstParagraph"/>
      </w:pPr>
      <w:r>
        <w:t xml:space="preserve">TIPCL-1.0 governs the use, reproduction, modification, and</w:t>
      </w:r>
      <w:r>
        <w:t xml:space="preserve"> </w:t>
      </w:r>
      <w:r>
        <w:t xml:space="preserve">distribution of (a) software implementations of the technical framework</w:t>
      </w:r>
      <w:r>
        <w:t xml:space="preserve"> </w:t>
      </w:r>
      <w:r>
        <w:t xml:space="preserve">described in this whitepaper and in the canonical TIP Protocol</w:t>
      </w:r>
      <w:r>
        <w:t xml:space="preserve"> </w:t>
      </w:r>
      <w:r>
        <w:t xml:space="preserve">Specification, (b) integration interfaces and software development kits</w:t>
      </w:r>
      <w:r>
        <w:t xml:space="preserve"> </w:t>
      </w:r>
      <w:r>
        <w:t xml:space="preserve">published by The AI Lab, and (c) reference data, schemas, and test</w:t>
      </w:r>
      <w:r>
        <w:t xml:space="preserve"> </w:t>
      </w:r>
      <w:r>
        <w:t xml:space="preserve">vectors published by The AI Lab in connection with the foregoing.</w:t>
      </w:r>
    </w:p>
    <w:p>
      <w:pPr>
        <w:pStyle w:val="BodyText"/>
      </w:pPr>
      <w:r>
        <w:t xml:space="preserve">TIPCL-1.0 does not govern the canonical TIP Protocol Specification</w:t>
      </w:r>
      <w:r>
        <w:t xml:space="preserve"> </w:t>
      </w:r>
      <w:r>
        <w:t xml:space="preserve">itself, which is published under the Creative Commons Attribution 4.0</w:t>
      </w:r>
      <w:r>
        <w:t xml:space="preserve"> </w:t>
      </w:r>
      <w:r>
        <w:t xml:space="preserve">International Public License (CC BY 4.0).</w:t>
      </w:r>
    </w:p>
    <w:bookmarkEnd w:id="299"/>
    <w:bookmarkStart w:id="300" w:name="f.2-eligibility-tiers"/>
    <w:p>
      <w:pPr>
        <w:pStyle w:val="Heading2"/>
      </w:pPr>
      <w:r>
        <w:t xml:space="preserve">F.2 Eligibility tiers</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Tier category</w:t>
            </w:r>
          </w:p>
        </w:tc>
        <w:tc>
          <w:tcPr/>
          <w:p>
            <w:pPr>
              <w:pStyle w:val="Compact"/>
            </w:pPr>
            <w:r>
              <w:t xml:space="preserve">Eligibility</w:t>
            </w:r>
          </w:p>
        </w:tc>
        <w:tc>
          <w:tcPr/>
          <w:p>
            <w:pPr>
              <w:pStyle w:val="Compact"/>
            </w:pPr>
            <w:r>
              <w:t xml:space="preserve">Annual fee</w:t>
            </w:r>
          </w:p>
        </w:tc>
      </w:tr>
      <w:tr>
        <w:tc>
          <w:tcPr/>
          <w:p>
            <w:pPr>
              <w:pStyle w:val="Compact"/>
            </w:pPr>
            <w:r>
              <w:t xml:space="preserve">Free Tier, individual</w:t>
            </w:r>
          </w:p>
        </w:tc>
        <w:tc>
          <w:tcPr/>
          <w:p>
            <w:pPr>
              <w:pStyle w:val="Compact"/>
            </w:pPr>
            <w:r>
              <w:t xml:space="preserve">Individual natural person with annual gross revenue below</w:t>
            </w:r>
          </w:p>
        </w:tc>
        <w:tc>
          <w:tcPr/>
          <w:p>
            <w:pPr>
              <w:pStyle w:val="Compact"/>
            </w:pPr>
          </w:p>
        </w:tc>
      </w:tr>
      <w:tr>
        <w:tc>
          <w:tcPr/>
          <w:p>
            <w:pPr>
              <w:pStyle w:val="Compact"/>
            </w:pPr>
            <w:r>
              <w:t xml:space="preserve">US$100,000</w:t>
            </w:r>
          </w:p>
        </w:tc>
        <w:tc>
          <w:tcPr/>
          <w:p>
            <w:pPr>
              <w:pStyle w:val="Compact"/>
            </w:pPr>
            <w:r>
              <w:t xml:space="preserve">No fee</w:t>
            </w:r>
          </w:p>
        </w:tc>
        <w:tc>
          <w:tcPr/>
          <w:p>
            <w:pPr>
              <w:pStyle w:val="Compact"/>
            </w:pPr>
          </w:p>
        </w:tc>
      </w:tr>
      <w:tr>
        <w:tc>
          <w:tcPr/>
          <w:p>
            <w:pPr>
              <w:pStyle w:val="Compact"/>
            </w:pPr>
            <w:r>
              <w:t xml:space="preserve">Free Tier, small business</w:t>
            </w:r>
          </w:p>
        </w:tc>
        <w:tc>
          <w:tcPr/>
          <w:p>
            <w:pPr>
              <w:pStyle w:val="Compact"/>
            </w:pPr>
            <w:r>
              <w:t xml:space="preserve">Business with annual gross revenue below US$100,000</w:t>
            </w:r>
          </w:p>
        </w:tc>
        <w:tc>
          <w:tcPr/>
          <w:p>
            <w:pPr>
              <w:pStyle w:val="Compact"/>
            </w:pPr>
            <w:r>
              <w:t xml:space="preserve">No fee</w:t>
            </w:r>
          </w:p>
        </w:tc>
      </w:tr>
      <w:tr>
        <w:tc>
          <w:tcPr/>
          <w:p>
            <w:pPr>
              <w:pStyle w:val="Compact"/>
            </w:pPr>
            <w:r>
              <w:t xml:space="preserve">Free Tier, nonprofit</w:t>
            </w:r>
          </w:p>
        </w:tc>
        <w:tc>
          <w:tcPr/>
          <w:p>
            <w:pPr>
              <w:pStyle w:val="Compact"/>
            </w:pPr>
            <w:r>
              <w:t xml:space="preserve">Nonprofit, NGO, or registered charity, any size</w:t>
            </w:r>
          </w:p>
        </w:tc>
        <w:tc>
          <w:tcPr/>
          <w:p>
            <w:pPr>
              <w:pStyle w:val="Compact"/>
            </w:pPr>
            <w:r>
              <w:t xml:space="preserve">No fee</w:t>
            </w:r>
          </w:p>
        </w:tc>
      </w:tr>
      <w:tr>
        <w:tc>
          <w:tcPr/>
          <w:p>
            <w:pPr>
              <w:pStyle w:val="Compact"/>
            </w:pPr>
            <w:r>
              <w:t xml:space="preserve">Free Tier, educational</w:t>
            </w:r>
          </w:p>
        </w:tc>
        <w:tc>
          <w:tcPr/>
          <w:p>
            <w:pPr>
              <w:pStyle w:val="Compact"/>
            </w:pPr>
            <w:r>
              <w:t xml:space="preserve">Educational institution, any size</w:t>
            </w:r>
          </w:p>
        </w:tc>
        <w:tc>
          <w:tcPr/>
          <w:p>
            <w:pPr>
              <w:pStyle w:val="Compact"/>
            </w:pPr>
            <w:r>
              <w:t xml:space="preserve">No fee</w:t>
            </w:r>
          </w:p>
        </w:tc>
      </w:tr>
      <w:tr>
        <w:tc>
          <w:tcPr/>
          <w:p>
            <w:pPr>
              <w:pStyle w:val="Compact"/>
            </w:pPr>
            <w:r>
              <w:t xml:space="preserve">Free Tier, government</w:t>
            </w:r>
          </w:p>
        </w:tc>
        <w:tc>
          <w:tcPr/>
          <w:p>
            <w:pPr>
              <w:pStyle w:val="Compact"/>
            </w:pPr>
            <w:r>
              <w:t xml:space="preserve">Government entity, any level, any size</w:t>
            </w:r>
          </w:p>
        </w:tc>
        <w:tc>
          <w:tcPr/>
          <w:p>
            <w:pPr>
              <w:pStyle w:val="Compact"/>
            </w:pPr>
            <w:r>
              <w:t xml:space="preserve">No fee</w:t>
            </w:r>
          </w:p>
        </w:tc>
      </w:tr>
      <w:tr>
        <w:tc>
          <w:tcPr/>
          <w:p>
            <w:pPr>
              <w:pStyle w:val="Compact"/>
            </w:pPr>
            <w:r>
              <w:t xml:space="preserve">Free Tier, journalism</w:t>
            </w:r>
          </w:p>
        </w:tc>
        <w:tc>
          <w:tcPr/>
          <w:p>
            <w:pPr>
              <w:pStyle w:val="Compact"/>
            </w:pPr>
            <w:r>
              <w:t xml:space="preserve">Journalism organization, editorial use only, any size</w:t>
            </w:r>
          </w:p>
        </w:tc>
        <w:tc>
          <w:tcPr/>
          <w:p>
            <w:pPr>
              <w:pStyle w:val="Compact"/>
            </w:pPr>
            <w:r>
              <w:t xml:space="preserve">No fee</w:t>
            </w:r>
          </w:p>
        </w:tc>
      </w:tr>
      <w:tr>
        <w:tc>
          <w:tcPr/>
          <w:p>
            <w:pPr>
              <w:pStyle w:val="Compact"/>
            </w:pPr>
            <w:r>
              <w:t xml:space="preserve">Free Tier, R&amp;D</w:t>
            </w:r>
          </w:p>
        </w:tc>
        <w:tc>
          <w:tcPr/>
          <w:p>
            <w:pPr>
              <w:pStyle w:val="Compact"/>
            </w:pPr>
            <w:r>
              <w:t xml:space="preserve">Research, development, or testing within published</w:t>
            </w:r>
          </w:p>
        </w:tc>
        <w:tc>
          <w:tcPr/>
          <w:p>
            <w:pPr>
              <w:pStyle w:val="Compact"/>
            </w:pPr>
          </w:p>
        </w:tc>
      </w:tr>
      <w:tr>
        <w:tc>
          <w:tcPr/>
          <w:p>
            <w:pPr>
              <w:pStyle w:val="Compact"/>
            </w:pPr>
            <w:r>
              <w:t xml:space="preserve">per-organization</w:t>
            </w:r>
          </w:p>
        </w:tc>
        <w:tc>
          <w:tcPr/>
          <w:p>
            <w:pPr>
              <w:pStyle w:val="Compact"/>
            </w:pPr>
          </w:p>
        </w:tc>
        <w:tc>
          <w:tcPr/>
          <w:p>
            <w:pPr>
              <w:pStyle w:val="Compact"/>
            </w:pPr>
          </w:p>
        </w:tc>
      </w:tr>
      <w:tr>
        <w:tc>
          <w:tcPr/>
          <w:p>
            <w:pPr>
              <w:pStyle w:val="Compact"/>
            </w:pPr>
            <w:r>
              <w:t xml:space="preserve">user and duration ceilings</w:t>
            </w:r>
          </w:p>
        </w:tc>
        <w:tc>
          <w:tcPr/>
          <w:p>
            <w:pPr>
              <w:pStyle w:val="Compact"/>
            </w:pPr>
            <w:r>
              <w:t xml:space="preserve">No fee</w:t>
            </w:r>
          </w:p>
        </w:tc>
        <w:tc>
          <w:tcPr/>
          <w:p>
            <w:pPr>
              <w:pStyle w:val="Compact"/>
            </w:pPr>
          </w:p>
        </w:tc>
      </w:tr>
      <w:tr>
        <w:tc>
          <w:tcPr/>
          <w:p>
            <w:pPr>
              <w:pStyle w:val="Compact"/>
            </w:pPr>
            <w:r>
              <w:t xml:space="preserve">Commercial, Micro</w:t>
            </w:r>
          </w:p>
        </w:tc>
        <w:tc>
          <w:tcPr/>
          <w:p>
            <w:pPr>
              <w:pStyle w:val="Compact"/>
            </w:pPr>
            <w:r>
              <w:t xml:space="preserve">Annual gross revenue US$100,000 to US$250,000</w:t>
            </w:r>
          </w:p>
        </w:tc>
        <w:tc>
          <w:tcPr/>
          <w:p>
            <w:pPr>
              <w:pStyle w:val="Compact"/>
            </w:pPr>
            <w:r>
              <w:t xml:space="preserve">US$500</w:t>
            </w:r>
          </w:p>
        </w:tc>
      </w:tr>
      <w:tr>
        <w:tc>
          <w:tcPr/>
          <w:p>
            <w:pPr>
              <w:pStyle w:val="Compact"/>
            </w:pPr>
            <w:r>
              <w:t xml:space="preserve">Commercial, Seed</w:t>
            </w:r>
          </w:p>
        </w:tc>
        <w:tc>
          <w:tcPr/>
          <w:p>
            <w:pPr>
              <w:pStyle w:val="Compact"/>
            </w:pPr>
            <w:r>
              <w:t xml:space="preserve">Annual gross revenue US$250,000 to US$500,000</w:t>
            </w:r>
          </w:p>
        </w:tc>
        <w:tc>
          <w:tcPr/>
          <w:p>
            <w:pPr>
              <w:pStyle w:val="Compact"/>
            </w:pPr>
            <w:r>
              <w:t xml:space="preserve">US$1,100</w:t>
            </w:r>
          </w:p>
        </w:tc>
      </w:tr>
      <w:tr>
        <w:tc>
          <w:tcPr/>
          <w:p>
            <w:pPr>
              <w:pStyle w:val="Compact"/>
            </w:pPr>
            <w:r>
              <w:t xml:space="preserve">Commercial, Starter</w:t>
            </w:r>
          </w:p>
        </w:tc>
        <w:tc>
          <w:tcPr/>
          <w:p>
            <w:pPr>
              <w:pStyle w:val="Compact"/>
            </w:pPr>
            <w:r>
              <w:t xml:space="preserve">Annual gross revenue US$500,000 to US$5,000,000</w:t>
            </w:r>
          </w:p>
        </w:tc>
        <w:tc>
          <w:tcPr/>
          <w:p>
            <w:pPr>
              <w:pStyle w:val="Compact"/>
            </w:pPr>
            <w:r>
              <w:t xml:space="preserve">US$2,750</w:t>
            </w:r>
          </w:p>
        </w:tc>
      </w:tr>
      <w:tr>
        <w:tc>
          <w:tcPr/>
          <w:p>
            <w:pPr>
              <w:pStyle w:val="Compact"/>
            </w:pPr>
            <w:r>
              <w:t xml:space="preserve">Commercial, Growth</w:t>
            </w:r>
          </w:p>
        </w:tc>
        <w:tc>
          <w:tcPr/>
          <w:p>
            <w:pPr>
              <w:pStyle w:val="Compact"/>
            </w:pPr>
            <w:r>
              <w:t xml:space="preserve">Annual gross revenue US$5,000,000 to US$25,000,000</w:t>
            </w:r>
          </w:p>
        </w:tc>
        <w:tc>
          <w:tcPr/>
          <w:p>
            <w:pPr>
              <w:pStyle w:val="Compact"/>
            </w:pPr>
            <w:r>
              <w:t xml:space="preserve">US$8,250</w:t>
            </w:r>
          </w:p>
        </w:tc>
      </w:tr>
      <w:tr>
        <w:tc>
          <w:tcPr/>
          <w:p>
            <w:pPr>
              <w:pStyle w:val="Compact"/>
            </w:pPr>
            <w:r>
              <w:t xml:space="preserve">Commercial, Business</w:t>
            </w:r>
          </w:p>
        </w:tc>
        <w:tc>
          <w:tcPr/>
          <w:p>
            <w:pPr>
              <w:pStyle w:val="Compact"/>
            </w:pPr>
            <w:r>
              <w:t xml:space="preserve">Annual gross revenue US$25,000,000 to US$100,000,000</w:t>
            </w:r>
          </w:p>
        </w:tc>
        <w:tc>
          <w:tcPr/>
          <w:p>
            <w:pPr>
              <w:pStyle w:val="Compact"/>
            </w:pPr>
            <w:r>
              <w:t xml:space="preserve">US$27,500</w:t>
            </w:r>
          </w:p>
        </w:tc>
      </w:tr>
      <w:tr>
        <w:tc>
          <w:tcPr/>
          <w:p>
            <w:pPr>
              <w:pStyle w:val="Compact"/>
            </w:pPr>
            <w:r>
              <w:t xml:space="preserve">Commercial, Enterprise</w:t>
            </w:r>
          </w:p>
        </w:tc>
        <w:tc>
          <w:tcPr/>
          <w:p>
            <w:pPr>
              <w:pStyle w:val="Compact"/>
            </w:pPr>
            <w:r>
              <w:t xml:space="preserve">Annual gross revenue US$100,000,000 to US$500,000,000</w:t>
            </w:r>
          </w:p>
        </w:tc>
        <w:tc>
          <w:tcPr/>
          <w:p>
            <w:pPr>
              <w:pStyle w:val="Compact"/>
            </w:pPr>
            <w:r>
              <w:t xml:space="preserve">US$71,500</w:t>
            </w:r>
          </w:p>
        </w:tc>
      </w:tr>
      <w:tr>
        <w:tc>
          <w:tcPr/>
          <w:p>
            <w:pPr>
              <w:pStyle w:val="Compact"/>
            </w:pPr>
            <w:r>
              <w:t xml:space="preserve">Commercial, Corporate</w:t>
            </w:r>
          </w:p>
        </w:tc>
        <w:tc>
          <w:tcPr/>
          <w:p>
            <w:pPr>
              <w:pStyle w:val="Compact"/>
            </w:pPr>
            <w:r>
              <w:t xml:space="preserve">Annual gross revenue US$500,000,000 to US$2,000,000,000</w:t>
            </w:r>
          </w:p>
        </w:tc>
        <w:tc>
          <w:tcPr/>
          <w:p>
            <w:pPr>
              <w:pStyle w:val="Compact"/>
            </w:pPr>
            <w:r>
              <w:t xml:space="preserve">US$165,000</w:t>
            </w:r>
          </w:p>
        </w:tc>
      </w:tr>
      <w:tr>
        <w:tc>
          <w:tcPr/>
          <w:p>
            <w:pPr>
              <w:pStyle w:val="Compact"/>
            </w:pPr>
            <w:r>
              <w:t xml:space="preserve">Commercial, Strategic</w:t>
            </w:r>
          </w:p>
        </w:tc>
        <w:tc>
          <w:tcPr/>
          <w:p>
            <w:pPr>
              <w:pStyle w:val="Compact"/>
            </w:pPr>
            <w:r>
              <w:t xml:space="preserve">Annual gross revenue US$2,000,000,000 to US$10,000,000,000</w:t>
            </w:r>
          </w:p>
        </w:tc>
        <w:tc>
          <w:tcPr/>
          <w:p>
            <w:pPr>
              <w:pStyle w:val="Compact"/>
            </w:pPr>
            <w:r>
              <w:t xml:space="preserve">US$385,000</w:t>
            </w:r>
          </w:p>
        </w:tc>
      </w:tr>
      <w:tr>
        <w:tc>
          <w:tcPr/>
          <w:p>
            <w:pPr>
              <w:pStyle w:val="Compact"/>
            </w:pPr>
            <w:r>
              <w:t xml:space="preserve">Commercial, Global</w:t>
            </w:r>
          </w:p>
        </w:tc>
        <w:tc>
          <w:tcPr/>
          <w:p>
            <w:pPr>
              <w:pStyle w:val="Compact"/>
            </w:pPr>
            <w:r>
              <w:t xml:space="preserve">Annual gross revenue US$10,000,000,000 and above</w:t>
            </w:r>
          </w:p>
        </w:tc>
        <w:tc>
          <w:tcPr/>
          <w:p>
            <w:pPr>
              <w:pStyle w:val="Compact"/>
            </w:pPr>
            <w:r>
              <w:t xml:space="preserve">US$550,000</w:t>
            </w:r>
          </w:p>
        </w:tc>
      </w:tr>
    </w:tbl>
    <w:bookmarkEnd w:id="300"/>
    <w:bookmarkStart w:id="301" w:name="f.3-required-conditions-of-use"/>
    <w:p>
      <w:pPr>
        <w:pStyle w:val="Heading2"/>
      </w:pPr>
      <w:r>
        <w:t xml:space="preserve">F.3 Required conditions of use</w:t>
      </w:r>
    </w:p>
    <w:p>
      <w:pPr>
        <w:pStyle w:val="FirstParagraph"/>
      </w:pPr>
      <w:r>
        <w:t xml:space="preserve">A licensee is required to:</w:t>
      </w:r>
    </w:p>
    <w:p>
      <w:pPr>
        <w:pStyle w:val="Compact"/>
        <w:numPr>
          <w:ilvl w:val="0"/>
          <w:numId w:val="1031"/>
        </w:numPr>
      </w:pPr>
      <w:r>
        <w:t xml:space="preserve">Include a copy of TIPCL-1.0, or a hyperlink to</w:t>
      </w:r>
      <w:r>
        <w:t xml:space="preserve"> </w:t>
      </w:r>
      <w:r>
        <w:t xml:space="preserve">theailab.org/tip-license, in any redistribution.</w:t>
      </w:r>
    </w:p>
    <w:p>
      <w:pPr>
        <w:pStyle w:val="Compact"/>
        <w:numPr>
          <w:ilvl w:val="0"/>
          <w:numId w:val="1031"/>
        </w:numPr>
      </w:pPr>
      <w:r>
        <w:t xml:space="preserve">Preserve the copyright, trademark, and attribution notices of The AI</w:t>
      </w:r>
      <w:r>
        <w:t xml:space="preserve"> </w:t>
      </w:r>
      <w:r>
        <w:t xml:space="preserve">Lab in source code, documentation, and user-facing surfaces.</w:t>
      </w:r>
    </w:p>
    <w:p>
      <w:pPr>
        <w:pStyle w:val="Compact"/>
        <w:numPr>
          <w:ilvl w:val="0"/>
          <w:numId w:val="1031"/>
        </w:numPr>
      </w:pPr>
      <w:r>
        <w:t xml:space="preserve">Provide attribution to The AI Lab in any publication that describes,</w:t>
      </w:r>
      <w:r>
        <w:t xml:space="preserve"> </w:t>
      </w:r>
      <w:r>
        <w:t xml:space="preserve">references, or implements the Trust Identity Protocol, in the form set</w:t>
      </w:r>
      <w:r>
        <w:t xml:space="preserve"> </w:t>
      </w:r>
      <w:r>
        <w:t xml:space="preserve">out in Section F.7.</w:t>
      </w:r>
    </w:p>
    <w:p>
      <w:pPr>
        <w:pStyle w:val="Compact"/>
        <w:numPr>
          <w:ilvl w:val="0"/>
          <w:numId w:val="1031"/>
        </w:numPr>
      </w:pPr>
      <w:r>
        <w:t xml:space="preserve">Generate a NOTICE file in conformance with Section F.4 and include</w:t>
      </w:r>
      <w:r>
        <w:t xml:space="preserve"> </w:t>
      </w:r>
      <w:r>
        <w:t xml:space="preserve">the NOTICE file in any redistribution.</w:t>
      </w:r>
    </w:p>
    <w:p>
      <w:pPr>
        <w:pStyle w:val="Compact"/>
        <w:numPr>
          <w:ilvl w:val="0"/>
          <w:numId w:val="1031"/>
        </w:numPr>
      </w:pPr>
      <w:r>
        <w:t xml:space="preserve">Refrain from describing an implementation as “TIP-compliant,”</w:t>
      </w:r>
      <w:r>
        <w:t xml:space="preserve"> </w:t>
      </w:r>
      <w:r>
        <w:t xml:space="preserve">“TIP-certified,” or by any equivalent phrase that implies endorsement by</w:t>
      </w:r>
      <w:r>
        <w:t xml:space="preserve"> </w:t>
      </w:r>
      <w:r>
        <w:t xml:space="preserve">The AI Lab, unless the licensee has obtained a written compliance</w:t>
      </w:r>
      <w:r>
        <w:t xml:space="preserve"> </w:t>
      </w:r>
      <w:r>
        <w:t xml:space="preserve">attestation from The AI Lab.</w:t>
      </w:r>
    </w:p>
    <w:p>
      <w:pPr>
        <w:pStyle w:val="Compact"/>
        <w:numPr>
          <w:ilvl w:val="0"/>
          <w:numId w:val="1031"/>
        </w:numPr>
      </w:pPr>
      <w:r>
        <w:t xml:space="preserve">Refrain from using the trademarks of The AI Lab except in accordance</w:t>
      </w:r>
      <w:r>
        <w:t xml:space="preserve"> </w:t>
      </w:r>
      <w:r>
        <w:t xml:space="preserve">with the Trademark Usage Policy published at</w:t>
      </w:r>
      <w:r>
        <w:t xml:space="preserve"> </w:t>
      </w:r>
      <w:r>
        <w:t xml:space="preserve">theailab.org/trademark.</w:t>
      </w:r>
    </w:p>
    <w:p>
      <w:pPr>
        <w:pStyle w:val="Compact"/>
        <w:numPr>
          <w:ilvl w:val="0"/>
          <w:numId w:val="1031"/>
        </w:numPr>
      </w:pPr>
      <w:r>
        <w:t xml:space="preserve">Where the licensee is in the Commercial Tier, pay the applicable</w:t>
      </w:r>
      <w:r>
        <w:t xml:space="preserve"> </w:t>
      </w:r>
      <w:r>
        <w:t xml:space="preserve">annual fee in accordance with the operative text of TIPCL-1.0.</w:t>
      </w:r>
    </w:p>
    <w:p>
      <w:pPr>
        <w:pStyle w:val="Compact"/>
        <w:numPr>
          <w:ilvl w:val="0"/>
          <w:numId w:val="1031"/>
        </w:numPr>
      </w:pPr>
      <w:r>
        <w:t xml:space="preserve">Where the licensee processes personal data of natural persons in</w:t>
      </w:r>
      <w:r>
        <w:t xml:space="preserve"> </w:t>
      </w:r>
      <w:r>
        <w:t xml:space="preserve">connection with the Trust Identity Protocol, comply with applicable data</w:t>
      </w:r>
      <w:r>
        <w:t xml:space="preserve"> </w:t>
      </w:r>
      <w:r>
        <w:t xml:space="preserve">protection law, including the regulations and statutes listed in Part IX</w:t>
      </w:r>
      <w:r>
        <w:t xml:space="preserve"> </w:t>
      </w:r>
      <w:r>
        <w:t xml:space="preserve">of this whitepaper.</w:t>
      </w:r>
    </w:p>
    <w:bookmarkEnd w:id="301"/>
    <w:bookmarkStart w:id="302" w:name="f.4-notice-file-requirement"/>
    <w:p>
      <w:pPr>
        <w:pStyle w:val="Heading2"/>
      </w:pPr>
      <w:r>
        <w:t xml:space="preserve">F.4 NOTICE file requirement</w:t>
      </w:r>
    </w:p>
    <w:p>
      <w:pPr>
        <w:pStyle w:val="FirstParagraph"/>
      </w:pPr>
      <w:r>
        <w:t xml:space="preserve">A licensee is required to maintain in the root directory of any</w:t>
      </w:r>
      <w:r>
        <w:t xml:space="preserve"> </w:t>
      </w:r>
      <w:r>
        <w:t xml:space="preserve">source code redistribution, and to include in any user-facing</w:t>
      </w:r>
      <w:r>
        <w:t xml:space="preserve"> </w:t>
      </w:r>
      <w:r>
        <w:t xml:space="preserve">documentation, a NOTICE file containing:</w:t>
      </w:r>
    </w:p>
    <w:p>
      <w:pPr>
        <w:pStyle w:val="SourceCode"/>
      </w:pPr>
      <w:r>
        <w:rPr>
          <w:rStyle w:val="VerbatimChar"/>
        </w:rPr>
        <w:t xml:space="preserve">This product incorporates the Trust Identity Protocol (TIP),</w:t>
      </w:r>
      <w:r>
        <w:br/>
      </w:r>
      <w:r>
        <w:rPr>
          <w:rStyle w:val="VerbatimChar"/>
        </w:rPr>
        <w:t xml:space="preserve">a technical framework published by The AI Lab Intelligence</w:t>
      </w:r>
      <w:r>
        <w:br/>
      </w:r>
      <w:r>
        <w:rPr>
          <w:rStyle w:val="VerbatimChar"/>
        </w:rPr>
        <w:t xml:space="preserve">Unobscured, Inc., Wilmington, Delaware, United States.</w:t>
      </w:r>
      <w:r>
        <w:br/>
      </w:r>
      <w:r>
        <w:br/>
      </w:r>
      <w:r>
        <w:rPr>
          <w:rStyle w:val="VerbatimChar"/>
        </w:rPr>
        <w:t xml:space="preserve">The TIP Protocol Specification is licensed under the Creative</w:t>
      </w:r>
      <w:r>
        <w:br/>
      </w:r>
      <w:r>
        <w:rPr>
          <w:rStyle w:val="VerbatimChar"/>
        </w:rPr>
        <w:t xml:space="preserve">Commons Attribution 4.0 International Public License (CC BY 4.0).</w:t>
      </w:r>
      <w:r>
        <w:br/>
      </w:r>
      <w:r>
        <w:rPr>
          <w:rStyle w:val="VerbatimChar"/>
        </w:rPr>
        <w:t xml:space="preserve">This implementation is licensed under the TIP Protocol Code</w:t>
      </w:r>
      <w:r>
        <w:br/>
      </w:r>
      <w:r>
        <w:rPr>
          <w:rStyle w:val="VerbatimChar"/>
        </w:rPr>
        <w:t xml:space="preserve">License, Version 1.0 (TIPCL-1.0), available at</w:t>
      </w:r>
      <w:r>
        <w:br/>
      </w:r>
      <w:r>
        <w:rPr>
          <w:rStyle w:val="VerbatimChar"/>
        </w:rPr>
        <w:t xml:space="preserve">https://theailab.org/tip-license.</w:t>
      </w:r>
      <w:r>
        <w:br/>
      </w:r>
      <w:r>
        <w:br/>
      </w:r>
      <w:r>
        <w:rPr>
          <w:rStyle w:val="VerbatimChar"/>
        </w:rPr>
        <w:t xml:space="preserve">The marks "The AI Lab," "Trust Identity Protocol," "TIP,"</w:t>
      </w:r>
      <w:r>
        <w:br/>
      </w:r>
      <w:r>
        <w:rPr>
          <w:rStyle w:val="VerbatimChar"/>
        </w:rPr>
        <w:t xml:space="preserve">"Global Seal of Trust," and "AI Trust Council" are trademarks</w:t>
      </w:r>
      <w:r>
        <w:br/>
      </w:r>
      <w:r>
        <w:rPr>
          <w:rStyle w:val="VerbatimChar"/>
        </w:rPr>
        <w:t xml:space="preserve">of The AI Lab Intelligence Unobscured, Inc.</w:t>
      </w:r>
      <w:r>
        <w:br/>
      </w:r>
      <w:r>
        <w:br/>
      </w:r>
      <w:r>
        <w:rPr>
          <w:rStyle w:val="VerbatimChar"/>
        </w:rPr>
        <w:t xml:space="preserve">For licensing inquiries, contact licensing@theailab.org.</w:t>
      </w:r>
    </w:p>
    <w:bookmarkEnd w:id="302"/>
    <w:bookmarkStart w:id="303" w:name="f.5-patent-license"/>
    <w:p>
      <w:pPr>
        <w:pStyle w:val="Heading2"/>
      </w:pPr>
      <w:r>
        <w:t xml:space="preserve">F.5 Patent license</w:t>
      </w:r>
    </w:p>
    <w:p>
      <w:pPr>
        <w:pStyle w:val="FirstParagraph"/>
      </w:pPr>
      <w:r>
        <w:t xml:space="preserve">TIPCL-1.0 Section 8 grants to every licensee in good standing a</w:t>
      </w:r>
      <w:r>
        <w:t xml:space="preserve"> </w:t>
      </w:r>
      <w:r>
        <w:t xml:space="preserve">royalty-free, non-exclusive, non-transferable license under the issued</w:t>
      </w:r>
      <w:r>
        <w:t xml:space="preserve"> </w:t>
      </w:r>
      <w:r>
        <w:t xml:space="preserve">and pending patent claims of The AI Lab that are necessarily infringed</w:t>
      </w:r>
      <w:r>
        <w:t xml:space="preserve"> </w:t>
      </w:r>
      <w:r>
        <w:t xml:space="preserve">by the practice of the Trust Identity Protocol in accordance with the</w:t>
      </w:r>
      <w:r>
        <w:t xml:space="preserve"> </w:t>
      </w:r>
      <w:r>
        <w:t xml:space="preserve">canonical specification. The patent license is conditioned on (a)</w:t>
      </w:r>
      <w:r>
        <w:t xml:space="preserve"> </w:t>
      </w:r>
      <w:r>
        <w:t xml:space="preserve">compliance with the operative terms of TIPCL-1.0, (b) attribution, and</w:t>
      </w:r>
      <w:r>
        <w:t xml:space="preserve"> </w:t>
      </w:r>
      <w:r>
        <w:t xml:space="preserve">(c) the defensive termination provision.</w:t>
      </w:r>
    </w:p>
    <w:p>
      <w:pPr>
        <w:pStyle w:val="BodyText"/>
      </w:pPr>
      <w:r>
        <w:t xml:space="preserve">The defensive termination provision states that the Section 8 patent</w:t>
      </w:r>
      <w:r>
        <w:t xml:space="preserve"> </w:t>
      </w:r>
      <w:r>
        <w:t xml:space="preserve">license terminates automatically with respect to a licensee that</w:t>
      </w:r>
      <w:r>
        <w:t xml:space="preserve"> </w:t>
      </w:r>
      <w:r>
        <w:t xml:space="preserve">initiates patent infringement litigation against The AI Lab or against</w:t>
      </w:r>
      <w:r>
        <w:t xml:space="preserve"> </w:t>
      </w:r>
      <w:r>
        <w:t xml:space="preserve">any other licensee in good standing alleging infringement by the</w:t>
      </w:r>
      <w:r>
        <w:t xml:space="preserve"> </w:t>
      </w:r>
      <w:r>
        <w:t xml:space="preserve">practice of the Trust Identity Protocol.</w:t>
      </w:r>
    </w:p>
    <w:bookmarkEnd w:id="303"/>
    <w:bookmarkStart w:id="304" w:name="f.6-trademark-license"/>
    <w:p>
      <w:pPr>
        <w:pStyle w:val="Heading2"/>
      </w:pPr>
      <w:r>
        <w:t xml:space="preserve">F.6 Trademark license</w:t>
      </w:r>
    </w:p>
    <w:p>
      <w:pPr>
        <w:pStyle w:val="FirstParagraph"/>
      </w:pPr>
      <w:r>
        <w:t xml:space="preserve">TIPCL-1.0 Section 9 confirms that the license granted under TIPCL-1.0</w:t>
      </w:r>
      <w:r>
        <w:t xml:space="preserve"> </w:t>
      </w:r>
      <w:r>
        <w:t xml:space="preserve">does not grant any right to use the trademarks, service marks, trade</w:t>
      </w:r>
      <w:r>
        <w:t xml:space="preserve"> </w:t>
      </w:r>
      <w:r>
        <w:t xml:space="preserve">names, or logos of The AI Lab, except as permitted by nominative fair</w:t>
      </w:r>
      <w:r>
        <w:t xml:space="preserve"> </w:t>
      </w:r>
      <w:r>
        <w:t xml:space="preserve">use under applicable trademark law and except as expressly permitted by</w:t>
      </w:r>
      <w:r>
        <w:t xml:space="preserve"> </w:t>
      </w:r>
      <w:r>
        <w:t xml:space="preserve">the Trademark Usage Policy.</w:t>
      </w:r>
    </w:p>
    <w:bookmarkEnd w:id="304"/>
    <w:bookmarkStart w:id="305" w:name="f.7-required-attribution-form"/>
    <w:p>
      <w:pPr>
        <w:pStyle w:val="Heading2"/>
      </w:pPr>
      <w:r>
        <w:t xml:space="preserve">F.7 Required attribution form</w:t>
      </w:r>
    </w:p>
    <w:p>
      <w:pPr>
        <w:pStyle w:val="FirstParagraph"/>
      </w:pPr>
      <w:r>
        <w:t xml:space="preserve">In any publication, presentation, advertisement, marketing material,</w:t>
      </w:r>
      <w:r>
        <w:t xml:space="preserve"> </w:t>
      </w:r>
      <w:r>
        <w:t xml:space="preserve">technical documentation, public website, or other surface that</w:t>
      </w:r>
      <w:r>
        <w:t xml:space="preserve"> </w:t>
      </w:r>
      <w:r>
        <w:t xml:space="preserve">describes, references, implements, or relies on the Trust Identity</w:t>
      </w:r>
      <w:r>
        <w:t xml:space="preserve"> </w:t>
      </w:r>
      <w:r>
        <w:t xml:space="preserve">Protocol, the licensee shall include attribution in substantially the</w:t>
      </w:r>
      <w:r>
        <w:t xml:space="preserve"> </w:t>
      </w:r>
      <w:r>
        <w:t xml:space="preserve">following form:</w:t>
      </w:r>
    </w:p>
    <w:p>
      <w:pPr>
        <w:pStyle w:val="BlockText"/>
      </w:pPr>
      <w:r>
        <w:t xml:space="preserve">“Implements the Trust Identity Protocol™ (TIP), a technical framework</w:t>
      </w:r>
      <w:r>
        <w:t xml:space="preserve"> </w:t>
      </w:r>
      <w:r>
        <w:t xml:space="preserve">published by The AI Lab Intelligence Unobscured, Inc. The TIP Protocol</w:t>
      </w:r>
      <w:r>
        <w:t xml:space="preserve"> </w:t>
      </w:r>
      <w:r>
        <w:t xml:space="preserve">Specification is available at theailab.org under CC BY 4.0. Trust</w:t>
      </w:r>
      <w:r>
        <w:t xml:space="preserve"> </w:t>
      </w:r>
      <w:r>
        <w:t xml:space="preserve">Identity Protocol™, TIP™, The AI Lab™, Global Seal of Trust™, and AI</w:t>
      </w:r>
      <w:r>
        <w:t xml:space="preserve"> </w:t>
      </w:r>
      <w:r>
        <w:t xml:space="preserve">Trust Council™ are trademarks of The AI Lab Intelligence Unobscured,</w:t>
      </w:r>
      <w:r>
        <w:t xml:space="preserve"> </w:t>
      </w:r>
      <w:r>
        <w:t xml:space="preserve">Inc.”</w:t>
      </w:r>
    </w:p>
    <w:bookmarkEnd w:id="305"/>
    <w:bookmarkStart w:id="306" w:name="f.8-apache-2.0-conversion-provision"/>
    <w:p>
      <w:pPr>
        <w:pStyle w:val="Heading2"/>
      </w:pPr>
      <w:r>
        <w:t xml:space="preserve">F.8 Apache 2.0 conversion provision</w:t>
      </w:r>
    </w:p>
    <w:p>
      <w:pPr>
        <w:pStyle w:val="FirstParagraph"/>
      </w:pPr>
      <w:r>
        <w:t xml:space="preserve">TIPCL-1.0 Section 12 provides that on January 1, 2031, the canonical</w:t>
      </w:r>
      <w:r>
        <w:t xml:space="preserve"> </w:t>
      </w:r>
      <w:r>
        <w:t xml:space="preserve">TIP Protocol Specification and the reference implementations published</w:t>
      </w:r>
      <w:r>
        <w:t xml:space="preserve"> </w:t>
      </w:r>
      <w:r>
        <w:t xml:space="preserve">by The AI Lab become available under the Apache License, Version 2.0.</w:t>
      </w:r>
      <w:r>
        <w:t xml:space="preserve"> </w:t>
      </w:r>
      <w:r>
        <w:t xml:space="preserve">The conversion does not affect (a) trademark rights of The AI Lab, (b)</w:t>
      </w:r>
      <w:r>
        <w:t xml:space="preserve"> </w:t>
      </w:r>
      <w:r>
        <w:t xml:space="preserve">Commercial License fees accrued and unpaid as of the conversion date, or</w:t>
      </w:r>
      <w:r>
        <w:t xml:space="preserve"> </w:t>
      </w:r>
      <w:r>
        <w:t xml:space="preserve">(c) the AI Trust Council’s role in ratifying protocol changes.</w:t>
      </w:r>
    </w:p>
    <w:bookmarkEnd w:id="306"/>
    <w:bookmarkStart w:id="307" w:name="f.9-termination"/>
    <w:p>
      <w:pPr>
        <w:pStyle w:val="Heading2"/>
      </w:pPr>
      <w:r>
        <w:t xml:space="preserve">F.9 Termination</w:t>
      </w:r>
    </w:p>
    <w:p>
      <w:pPr>
        <w:pStyle w:val="FirstParagraph"/>
      </w:pPr>
      <w:r>
        <w:t xml:space="preserve">A license under TIPCL-1.0 terminates automatically on:</w:t>
      </w:r>
    </w:p>
    <w:p>
      <w:pPr>
        <w:pStyle w:val="Compact"/>
        <w:numPr>
          <w:ilvl w:val="0"/>
          <w:numId w:val="1032"/>
        </w:numPr>
      </w:pPr>
      <w:r>
        <w:t xml:space="preserve">A material breach of the operative terms of TIPCL-1.0 that is not</w:t>
      </w:r>
      <w:r>
        <w:t xml:space="preserve"> </w:t>
      </w:r>
      <w:r>
        <w:t xml:space="preserve">cured within thirty (30) days of written notice from The AI Lab.</w:t>
      </w:r>
    </w:p>
    <w:p>
      <w:pPr>
        <w:pStyle w:val="Compact"/>
        <w:numPr>
          <w:ilvl w:val="0"/>
          <w:numId w:val="1032"/>
        </w:numPr>
      </w:pPr>
      <w:r>
        <w:t xml:space="preserve">The licensee’s initiation of patent infringement litigation as</w:t>
      </w:r>
      <w:r>
        <w:t xml:space="preserve"> </w:t>
      </w:r>
      <w:r>
        <w:t xml:space="preserve">described in Section F.5.</w:t>
      </w:r>
    </w:p>
    <w:p>
      <w:pPr>
        <w:pStyle w:val="Compact"/>
        <w:numPr>
          <w:ilvl w:val="0"/>
          <w:numId w:val="1032"/>
        </w:numPr>
      </w:pPr>
      <w:r>
        <w:t xml:space="preserve">The licensee’s commencement of a voluntary case under any chapter of</w:t>
      </w:r>
      <w:r>
        <w:t xml:space="preserve"> </w:t>
      </w:r>
      <w:r>
        <w:t xml:space="preserve">the United States Bankruptcy Code, or the commencement against the</w:t>
      </w:r>
      <w:r>
        <w:t xml:space="preserve"> </w:t>
      </w:r>
      <w:r>
        <w:t xml:space="preserve">licensee of an involuntary case that is not dismissed within sixty (60)</w:t>
      </w:r>
      <w:r>
        <w:t xml:space="preserve"> </w:t>
      </w:r>
      <w:r>
        <w:t xml:space="preserve">days, in either case as such provisions are applied in the jurisdiction</w:t>
      </w:r>
      <w:r>
        <w:t xml:space="preserve"> </w:t>
      </w:r>
      <w:r>
        <w:t xml:space="preserve">of the licensee’s primary place of business.</w:t>
      </w:r>
    </w:p>
    <w:p>
      <w:pPr>
        <w:pStyle w:val="FirstParagraph"/>
      </w:pPr>
      <w:r>
        <w:t xml:space="preserve">On termination, the licensee shall cease all use of the Trust</w:t>
      </w:r>
      <w:r>
        <w:t xml:space="preserve"> </w:t>
      </w:r>
      <w:r>
        <w:t xml:space="preserve">Identity Protocol implementations covered by TIPCL-1.0, except that the</w:t>
      </w:r>
      <w:r>
        <w:t xml:space="preserve"> </w:t>
      </w:r>
      <w:r>
        <w:t xml:space="preserve">licensee may retain copies for archival and legal compliance</w:t>
      </w:r>
      <w:r>
        <w:t xml:space="preserve"> </w:t>
      </w:r>
      <w:r>
        <w:t xml:space="preserve">purposes.</w:t>
      </w:r>
    </w:p>
    <w:bookmarkEnd w:id="307"/>
    <w:bookmarkStart w:id="308" w:name="X239ed5fb921f7525343968fcc23fec52db6a783"/>
    <w:p>
      <w:pPr>
        <w:pStyle w:val="Heading2"/>
      </w:pPr>
      <w:r>
        <w:t xml:space="preserve">F.10 Governing law and dispute resolution</w:t>
      </w:r>
    </w:p>
    <w:p>
      <w:pPr>
        <w:pStyle w:val="FirstParagraph"/>
      </w:pPr>
      <w:r>
        <w:t xml:space="preserve">The operative text of TIPCL-1.0 specifies the law of the State of</w:t>
      </w:r>
      <w:r>
        <w:t xml:space="preserve"> </w:t>
      </w:r>
      <w:r>
        <w:t xml:space="preserve">Delaware as the governing law of the license, with disputes resolved by</w:t>
      </w:r>
      <w:r>
        <w:t xml:space="preserve"> </w:t>
      </w:r>
      <w:r>
        <w:t xml:space="preserve">binding arbitration administered by the American Arbitration Association</w:t>
      </w:r>
      <w:r>
        <w:t xml:space="preserve"> </w:t>
      </w:r>
      <w:r>
        <w:t xml:space="preserve">under its Commercial Arbitration Rules, seated in Wilmington, Delaware.</w:t>
      </w:r>
      <w:r>
        <w:t xml:space="preserve"> </w:t>
      </w:r>
      <w:r>
        <w:t xml:space="preserve">Licensees outside the United States may elect, in writing at the time of</w:t>
      </w:r>
      <w:r>
        <w:t xml:space="preserve"> </w:t>
      </w:r>
      <w:r>
        <w:t xml:space="preserve">license formation, an alternative seat and administering institution</w:t>
      </w:r>
      <w:r>
        <w:t xml:space="preserve"> </w:t>
      </w:r>
      <w:r>
        <w:t xml:space="preserve">from a schedule published by The AI Lab.</w:t>
      </w:r>
    </w:p>
    <w:bookmarkEnd w:id="308"/>
    <w:bookmarkStart w:id="309" w:name="f.11-disclaimer"/>
    <w:p>
      <w:pPr>
        <w:pStyle w:val="Heading2"/>
      </w:pPr>
      <w:r>
        <w:t xml:space="preserve">F.11 Disclaimer</w:t>
      </w:r>
    </w:p>
    <w:p>
      <w:pPr>
        <w:pStyle w:val="FirstParagraph"/>
      </w:pPr>
      <w:r>
        <w:t xml:space="preserve">TIPCL-1.0 Section 10 contains a disclaimer of warranties and a</w:t>
      </w:r>
      <w:r>
        <w:t xml:space="preserve"> </w:t>
      </w:r>
      <w:r>
        <w:t xml:space="preserve">limitation of liability in the form customary for open source licenses,</w:t>
      </w:r>
      <w:r>
        <w:t xml:space="preserve"> </w:t>
      </w:r>
      <w:r>
        <w:t xml:space="preserve">qualified by applicable consumer protection law in the licensee’s</w:t>
      </w:r>
      <w:r>
        <w:t xml:space="preserve"> </w:t>
      </w:r>
      <w:r>
        <w:t xml:space="preserve">jurisdiction. The disclaimer is set out in capital letters in the</w:t>
      </w:r>
      <w:r>
        <w:t xml:space="preserve"> </w:t>
      </w:r>
      <w:r>
        <w:t xml:space="preserve">operative text of TIPCL-1.0 and is not reproduced here.</w:t>
      </w:r>
    </w:p>
    <w:p>
      <w:r>
        <w:pict>
          <v:rect style="width:0;height:1.5pt" o:hralign="center" o:hrstd="t" o:hr="t"/>
        </w:pict>
      </w:r>
    </w:p>
    <w:p>
      <w:pPr>
        <w:pStyle w:val="FirstParagraph"/>
      </w:pPr>
      <w:r>
        <w:rPr>
          <w:b/>
          <w:bCs/>
        </w:rPr>
        <w:t xml:space="preserve">Contact The AI Lab regarding TIPCL-1.0</w:t>
      </w:r>
    </w:p>
    <w:p>
      <w:pPr>
        <w:pStyle w:val="BodyText"/>
      </w:pPr>
      <w:r>
        <w:t xml:space="preserve">Licensing inquiries:</w:t>
      </w:r>
      <w:r>
        <w:t xml:space="preserve"> </w:t>
      </w:r>
      <w:r>
        <w:rPr>
          <w:rStyle w:val="VerbatimChar"/>
        </w:rPr>
        <w:t xml:space="preserve">licensing@theailab.org</w:t>
      </w:r>
      <w:r>
        <w:t xml:space="preserve"> </w:t>
      </w:r>
      <w:r>
        <w:t xml:space="preserve">,</w:t>
      </w:r>
      <w:r>
        <w:t xml:space="preserve"> </w:t>
      </w:r>
      <w:r>
        <w:t xml:space="preserve">theailab.org/tip-license General Counsel:</w:t>
      </w:r>
      <w:r>
        <w:t xml:space="preserve"> </w:t>
      </w:r>
      <w:r>
        <w:rPr>
          <w:rStyle w:val="VerbatimChar"/>
        </w:rPr>
        <w:t xml:space="preserve">legal@theailab.org</w:t>
      </w:r>
    </w:p>
    <w:p>
      <w:pPr>
        <w:pStyle w:val="BodyText"/>
      </w:pPr>
      <w:r>
        <w:t xml:space="preserve">The AI Lab Intelligence Unobscured, Inc. Wilmington, Delaware, United</w:t>
      </w:r>
      <w:r>
        <w:t xml:space="preserve"> </w:t>
      </w:r>
      <w:r>
        <w:t xml:space="preserve">States.</w:t>
      </w:r>
    </w:p>
    <w:bookmarkEnd w:id="309"/>
    <w:bookmarkEnd w:id="310"/>
    <w:bookmarkStart w:id="322" w:name="appendix-g-references"/>
    <w:p>
      <w:pPr>
        <w:pStyle w:val="Heading1"/>
      </w:pPr>
      <w:r>
        <w:t xml:space="preserve">Appendix G: References</w:t>
      </w:r>
    </w:p>
    <w:p>
      <w:pPr>
        <w:pStyle w:val="FirstParagraph"/>
      </w:pPr>
      <w:r>
        <w:t xml:space="preserve">This Appendix identifies the principal published instruments,</w:t>
      </w:r>
      <w:r>
        <w:t xml:space="preserve"> </w:t>
      </w:r>
      <w:r>
        <w:t xml:space="preserve">standards, statutes, regulations, and academic and technical works on</w:t>
      </w:r>
      <w:r>
        <w:t xml:space="preserve"> </w:t>
      </w:r>
      <w:r>
        <w:t xml:space="preserve">which this whitepaper relies. References are organized by category. The</w:t>
      </w:r>
      <w:r>
        <w:t xml:space="preserve"> </w:t>
      </w:r>
      <w:r>
        <w:t xml:space="preserve">reference to a specific provision of any instrument identified herein</w:t>
      </w:r>
      <w:r>
        <w:t xml:space="preserve"> </w:t>
      </w:r>
      <w:r>
        <w:t xml:space="preserve">incorporates by reference the most current published version of the</w:t>
      </w:r>
      <w:r>
        <w:t xml:space="preserve"> </w:t>
      </w:r>
      <w:r>
        <w:t xml:space="preserve">instrument as of the publication date of this whitepaper.</w:t>
      </w:r>
    </w:p>
    <w:bookmarkStart w:id="311" w:name="g.1-cryptographic-standards"/>
    <w:p>
      <w:pPr>
        <w:pStyle w:val="Heading2"/>
      </w:pPr>
      <w:r>
        <w:t xml:space="preserve">G.1 Cryptographic standards</w:t>
      </w:r>
    </w:p>
    <w:p>
      <w:pPr>
        <w:pStyle w:val="FirstParagraph"/>
      </w:pPr>
      <w:r>
        <w:t xml:space="preserve">National Institute of Standards and Technology, Federal Information</w:t>
      </w:r>
      <w:r>
        <w:t xml:space="preserve"> </w:t>
      </w:r>
      <w:r>
        <w:t xml:space="preserve">Processing Standard Publication 203,</w:t>
      </w:r>
      <w:r>
        <w:t xml:space="preserve"> </w:t>
      </w:r>
      <w:r>
        <w:rPr>
          <w:i/>
          <w:iCs/>
        </w:rPr>
        <w:t xml:space="preserve">Module-Lattice-Based</w:t>
      </w:r>
      <w:r>
        <w:rPr>
          <w:i/>
          <w:iCs/>
        </w:rPr>
        <w:t xml:space="preserve"> </w:t>
      </w:r>
      <w:r>
        <w:rPr>
          <w:i/>
          <w:iCs/>
        </w:rPr>
        <w:t xml:space="preserve">Key-Encapsulation Mechanism Standard</w:t>
      </w:r>
      <w:r>
        <w:t xml:space="preserve"> </w:t>
      </w:r>
      <w:r>
        <w:t xml:space="preserve">(ML-KEM), Gaithersburg, MD,</w:t>
      </w:r>
      <w:r>
        <w:t xml:space="preserve"> </w:t>
      </w:r>
      <w:r>
        <w:t xml:space="preserve">August 2024.</w:t>
      </w:r>
    </w:p>
    <w:p>
      <w:pPr>
        <w:pStyle w:val="BodyText"/>
      </w:pPr>
      <w:r>
        <w:t xml:space="preserve">National Institute of Standards and Technology, Federal Information</w:t>
      </w:r>
      <w:r>
        <w:t xml:space="preserve"> </w:t>
      </w:r>
      <w:r>
        <w:t xml:space="preserve">Processing Standard Publication 204,</w:t>
      </w:r>
      <w:r>
        <w:t xml:space="preserve"> </w:t>
      </w:r>
      <w:r>
        <w:rPr>
          <w:i/>
          <w:iCs/>
        </w:rPr>
        <w:t xml:space="preserve">Module-Lattice-Based Digital</w:t>
      </w:r>
      <w:r>
        <w:rPr>
          <w:i/>
          <w:iCs/>
        </w:rPr>
        <w:t xml:space="preserve"> </w:t>
      </w:r>
      <w:r>
        <w:rPr>
          <w:i/>
          <w:iCs/>
        </w:rPr>
        <w:t xml:space="preserve">Signature Standard</w:t>
      </w:r>
      <w:r>
        <w:t xml:space="preserve"> </w:t>
      </w:r>
      <w:r>
        <w:t xml:space="preserve">(ML-DSA), Gaithersburg, MD, August 2024.</w:t>
      </w:r>
    </w:p>
    <w:p>
      <w:pPr>
        <w:pStyle w:val="BodyText"/>
      </w:pPr>
      <w:r>
        <w:t xml:space="preserve">National Institute of Standards and Technology, Federal Information</w:t>
      </w:r>
      <w:r>
        <w:t xml:space="preserve"> </w:t>
      </w:r>
      <w:r>
        <w:t xml:space="preserve">Processing Standard Publication 205,</w:t>
      </w:r>
      <w:r>
        <w:t xml:space="preserve"> </w:t>
      </w:r>
      <w:r>
        <w:rPr>
          <w:i/>
          <w:iCs/>
        </w:rPr>
        <w:t xml:space="preserve">Stateless Hash-Based Digital</w:t>
      </w:r>
      <w:r>
        <w:rPr>
          <w:i/>
          <w:iCs/>
        </w:rPr>
        <w:t xml:space="preserve"> </w:t>
      </w:r>
      <w:r>
        <w:rPr>
          <w:i/>
          <w:iCs/>
        </w:rPr>
        <w:t xml:space="preserve">Signature Standard</w:t>
      </w:r>
      <w:r>
        <w:t xml:space="preserve"> </w:t>
      </w:r>
      <w:r>
        <w:t xml:space="preserve">(SLH-DSA), Gaithersburg, MD, August 2024.</w:t>
      </w:r>
    </w:p>
    <w:p>
      <w:pPr>
        <w:pStyle w:val="BodyText"/>
      </w:pPr>
      <w:r>
        <w:t xml:space="preserve">National Institute of Standards and Technology, Special Publication</w:t>
      </w:r>
      <w:r>
        <w:t xml:space="preserve"> </w:t>
      </w:r>
      <w:r>
        <w:t xml:space="preserve">800-108 Revision 1,</w:t>
      </w:r>
      <w:r>
        <w:t xml:space="preserve"> </w:t>
      </w:r>
      <w:r>
        <w:rPr>
          <w:i/>
          <w:iCs/>
        </w:rPr>
        <w:t xml:space="preserve">Recommendation for Key Derivation Using</w:t>
      </w:r>
      <w:r>
        <w:rPr>
          <w:i/>
          <w:iCs/>
        </w:rPr>
        <w:t xml:space="preserve"> </w:t>
      </w:r>
      <w:r>
        <w:rPr>
          <w:i/>
          <w:iCs/>
        </w:rPr>
        <w:t xml:space="preserve">Pseudorandom Functions</w:t>
      </w:r>
      <w:r>
        <w:t xml:space="preserve">, Gaithersburg, MD, 2022.</w:t>
      </w:r>
    </w:p>
    <w:p>
      <w:pPr>
        <w:pStyle w:val="BodyText"/>
      </w:pPr>
      <w:r>
        <w:t xml:space="preserve">Internet Engineering Task Force, Request for Comments 5869,</w:t>
      </w:r>
      <w:r>
        <w:t xml:space="preserve"> </w:t>
      </w:r>
      <w:r>
        <w:rPr>
          <w:i/>
          <w:iCs/>
        </w:rPr>
        <w:t xml:space="preserve">HMAC-based Extract-and-Expand Key Derivation Function (HKDF)</w:t>
      </w:r>
      <w:r>
        <w:t xml:space="preserve">,</w:t>
      </w:r>
      <w:r>
        <w:t xml:space="preserve"> </w:t>
      </w:r>
      <w:r>
        <w:t xml:space="preserve">May 2010.</w:t>
      </w:r>
    </w:p>
    <w:p>
      <w:pPr>
        <w:pStyle w:val="BodyText"/>
      </w:pPr>
      <w:r>
        <w:t xml:space="preserve">Internet Engineering Task Force, Request for Comments 8785,</w:t>
      </w:r>
      <w:r>
        <w:t xml:space="preserve"> </w:t>
      </w:r>
      <w:r>
        <w:rPr>
          <w:i/>
          <w:iCs/>
        </w:rPr>
        <w:t xml:space="preserve">JSON</w:t>
      </w:r>
      <w:r>
        <w:rPr>
          <w:i/>
          <w:iCs/>
        </w:rPr>
        <w:t xml:space="preserve"> </w:t>
      </w:r>
      <w:r>
        <w:rPr>
          <w:i/>
          <w:iCs/>
        </w:rPr>
        <w:t xml:space="preserve">Canonicalization Scheme (JCS)</w:t>
      </w:r>
      <w:r>
        <w:t xml:space="preserve">, June 2020.</w:t>
      </w:r>
    </w:p>
    <w:p>
      <w:pPr>
        <w:pStyle w:val="BodyText"/>
      </w:pPr>
      <w:r>
        <w:t xml:space="preserve">Internet Engineering Task Force, Request for Comments 9457,</w:t>
      </w:r>
      <w:r>
        <w:t xml:space="preserve"> </w:t>
      </w:r>
      <w:r>
        <w:rPr>
          <w:i/>
          <w:iCs/>
        </w:rPr>
        <w:t xml:space="preserve">Problem Details for HTTP APIs</w:t>
      </w:r>
      <w:r>
        <w:t xml:space="preserve">, July 2023.</w:t>
      </w:r>
    </w:p>
    <w:p>
      <w:pPr>
        <w:pStyle w:val="BodyText"/>
      </w:pPr>
      <w:r>
        <w:t xml:space="preserve">World Wide Web Consortium,</w:t>
      </w:r>
      <w:r>
        <w:t xml:space="preserve"> </w:t>
      </w:r>
      <w:r>
        <w:rPr>
          <w:i/>
          <w:iCs/>
        </w:rPr>
        <w:t xml:space="preserve">Web Authentication: An API for</w:t>
      </w:r>
      <w:r>
        <w:rPr>
          <w:i/>
          <w:iCs/>
        </w:rPr>
        <w:t xml:space="preserve"> </w:t>
      </w:r>
      <w:r>
        <w:rPr>
          <w:i/>
          <w:iCs/>
        </w:rPr>
        <w:t xml:space="preserve">accessing Public Key Credentials Level 3</w:t>
      </w:r>
      <w:r>
        <w:t xml:space="preserve">, W3C Recommendation.</w:t>
      </w:r>
    </w:p>
    <w:p>
      <w:pPr>
        <w:pStyle w:val="BodyText"/>
      </w:pPr>
      <w:r>
        <w:t xml:space="preserve">National Institute of Standards and Technology,</w:t>
      </w:r>
      <w:r>
        <w:t xml:space="preserve"> </w:t>
      </w:r>
      <w:r>
        <w:rPr>
          <w:i/>
          <w:iCs/>
        </w:rPr>
        <w:t xml:space="preserve">Cybersecurity</w:t>
      </w:r>
      <w:r>
        <w:rPr>
          <w:i/>
          <w:iCs/>
        </w:rPr>
        <w:t xml:space="preserve"> </w:t>
      </w:r>
      <w:r>
        <w:rPr>
          <w:i/>
          <w:iCs/>
        </w:rPr>
        <w:t xml:space="preserve">Framework Version 2.0</w:t>
      </w:r>
      <w:r>
        <w:t xml:space="preserve">, NIST CSWP 29, February 2024.</w:t>
      </w:r>
    </w:p>
    <w:p>
      <w:pPr>
        <w:pStyle w:val="BodyText"/>
      </w:pPr>
      <w:r>
        <w:t xml:space="preserve">National Institute of Standards and Technology,</w:t>
      </w:r>
      <w:r>
        <w:t xml:space="preserve"> </w:t>
      </w:r>
      <w:r>
        <w:rPr>
          <w:i/>
          <w:iCs/>
        </w:rPr>
        <w:t xml:space="preserve">Artificial</w:t>
      </w:r>
      <w:r>
        <w:rPr>
          <w:i/>
          <w:iCs/>
        </w:rPr>
        <w:t xml:space="preserve"> </w:t>
      </w:r>
      <w:r>
        <w:rPr>
          <w:i/>
          <w:iCs/>
        </w:rPr>
        <w:t xml:space="preserve">Intelligence Risk Management Framework</w:t>
      </w:r>
      <w:r>
        <w:t xml:space="preserve">, NIST AI 100-1, January</w:t>
      </w:r>
      <w:r>
        <w:t xml:space="preserve"> </w:t>
      </w:r>
      <w:r>
        <w:t xml:space="preserve">2023.</w:t>
      </w:r>
    </w:p>
    <w:p>
      <w:pPr>
        <w:pStyle w:val="BodyText"/>
      </w:pPr>
      <w:r>
        <w:t xml:space="preserve">International Organization for Standardization and International</w:t>
      </w:r>
      <w:r>
        <w:t xml:space="preserve"> </w:t>
      </w:r>
      <w:r>
        <w:t xml:space="preserve">Electrotechnical Commission,</w:t>
      </w:r>
      <w:r>
        <w:t xml:space="preserve"> </w:t>
      </w:r>
      <w:r>
        <w:rPr>
          <w:i/>
          <w:iCs/>
        </w:rPr>
        <w:t xml:space="preserve">ISO/IEC 27001:2022 Information</w:t>
      </w:r>
      <w:r>
        <w:rPr>
          <w:i/>
          <w:iCs/>
        </w:rPr>
        <w:t xml:space="preserve"> </w:t>
      </w:r>
      <w:r>
        <w:rPr>
          <w:i/>
          <w:iCs/>
        </w:rPr>
        <w:t xml:space="preserve">security, cybersecurity and privacy protection, Information security</w:t>
      </w:r>
      <w:r>
        <w:rPr>
          <w:i/>
          <w:iCs/>
        </w:rPr>
        <w:t xml:space="preserve"> </w:t>
      </w:r>
      <w:r>
        <w:rPr>
          <w:i/>
          <w:iCs/>
        </w:rPr>
        <w:t xml:space="preserve">management systems, Requirements</w:t>
      </w:r>
      <w:r>
        <w:t xml:space="preserve">, October 2022.</w:t>
      </w:r>
    </w:p>
    <w:bookmarkEnd w:id="311"/>
    <w:bookmarkStart w:id="312" w:name="g.2-european-union-legislation"/>
    <w:p>
      <w:pPr>
        <w:pStyle w:val="Heading2"/>
      </w:pPr>
      <w:r>
        <w:t xml:space="preserve">G.2 European Union legislation</w:t>
      </w:r>
    </w:p>
    <w:p>
      <w:pPr>
        <w:pStyle w:val="FirstParagraph"/>
      </w:pPr>
      <w:r>
        <w:t xml:space="preserve">Regulation (EU) 2024/1689 of the European Parliament and of the</w:t>
      </w:r>
      <w:r>
        <w:t xml:space="preserve"> </w:t>
      </w:r>
      <w:r>
        <w:t xml:space="preserve">Council of 13 June 2024 laying down harmonised rules on artificial</w:t>
      </w:r>
      <w:r>
        <w:t xml:space="preserve"> </w:t>
      </w:r>
      <w:r>
        <w:t xml:space="preserve">intelligence (the Artificial Intelligence Act).</w:t>
      </w:r>
    </w:p>
    <w:p>
      <w:pPr>
        <w:pStyle w:val="BodyText"/>
      </w:pPr>
      <w:r>
        <w:t xml:space="preserve">Regulation (EU) 2016/679 of the European Parliament and of the</w:t>
      </w:r>
      <w:r>
        <w:t xml:space="preserve"> </w:t>
      </w:r>
      <w:r>
        <w:t xml:space="preserve">Council of 27 April 2016 on the protection of natural persons with</w:t>
      </w:r>
      <w:r>
        <w:t xml:space="preserve"> </w:t>
      </w:r>
      <w:r>
        <w:t xml:space="preserve">regard to the processing of personal data and on the free movement of</w:t>
      </w:r>
      <w:r>
        <w:t xml:space="preserve"> </w:t>
      </w:r>
      <w:r>
        <w:t xml:space="preserve">such data (the General Data Protection Regulation).</w:t>
      </w:r>
    </w:p>
    <w:p>
      <w:pPr>
        <w:pStyle w:val="BodyText"/>
      </w:pPr>
      <w:r>
        <w:t xml:space="preserve">Regulation (EU) 2022/2065 of the European Parliament and of the</w:t>
      </w:r>
      <w:r>
        <w:t xml:space="preserve"> </w:t>
      </w:r>
      <w:r>
        <w:t xml:space="preserve">Council of 19 October 2022 on a Single Market For Digital Services (the</w:t>
      </w:r>
      <w:r>
        <w:t xml:space="preserve"> </w:t>
      </w:r>
      <w:r>
        <w:t xml:space="preserve">Digital Services Act).</w:t>
      </w:r>
    </w:p>
    <w:p>
      <w:pPr>
        <w:pStyle w:val="BodyText"/>
      </w:pPr>
      <w:r>
        <w:t xml:space="preserve">Regulation (EU) 910/2014 of the European Parliament and of the</w:t>
      </w:r>
      <w:r>
        <w:t xml:space="preserve"> </w:t>
      </w:r>
      <w:r>
        <w:t xml:space="preserve">Council of 23 July 2014 on electronic identification and trust services</w:t>
      </w:r>
      <w:r>
        <w:t xml:space="preserve"> </w:t>
      </w:r>
      <w:r>
        <w:t xml:space="preserve">for electronic transactions in the internal market, as amended by</w:t>
      </w:r>
      <w:r>
        <w:t xml:space="preserve"> </w:t>
      </w:r>
      <w:r>
        <w:t xml:space="preserve">Regulation (EU) 2024/1183 of 11 April 2024 (eIDAS 2.0).</w:t>
      </w:r>
    </w:p>
    <w:p>
      <w:pPr>
        <w:pStyle w:val="BodyText"/>
      </w:pPr>
      <w:r>
        <w:t xml:space="preserve">Directive (EU) 2022/2555 of the European Parliament and of the</w:t>
      </w:r>
      <w:r>
        <w:t xml:space="preserve"> </w:t>
      </w:r>
      <w:r>
        <w:t xml:space="preserve">Council of 14 December 2022 on measures for a high common level of</w:t>
      </w:r>
      <w:r>
        <w:t xml:space="preserve"> </w:t>
      </w:r>
      <w:r>
        <w:t xml:space="preserve">cybersecurity across the Union (the NIS2 Directive).</w:t>
      </w:r>
    </w:p>
    <w:p>
      <w:pPr>
        <w:pStyle w:val="BodyText"/>
      </w:pPr>
      <w:r>
        <w:t xml:space="preserve">Regulation (EU) 2024/2847 of the European Parliament and of the</w:t>
      </w:r>
      <w:r>
        <w:t xml:space="preserve"> </w:t>
      </w:r>
      <w:r>
        <w:t xml:space="preserve">Council of 23 October 2024 on horizontal cybersecurity requirements for</w:t>
      </w:r>
      <w:r>
        <w:t xml:space="preserve"> </w:t>
      </w:r>
      <w:r>
        <w:t xml:space="preserve">products with digital elements (the Cyber Resilience Act).</w:t>
      </w:r>
    </w:p>
    <w:p>
      <w:pPr>
        <w:pStyle w:val="BodyText"/>
      </w:pPr>
      <w:r>
        <w:t xml:space="preserve">Regulation (EU) 2023/2854 of the European Parliament and of the</w:t>
      </w:r>
      <w:r>
        <w:t xml:space="preserve"> </w:t>
      </w:r>
      <w:r>
        <w:t xml:space="preserve">Council of 13 December 2023 on harmonised rules on fair access to and</w:t>
      </w:r>
      <w:r>
        <w:t xml:space="preserve"> </w:t>
      </w:r>
      <w:r>
        <w:t xml:space="preserve">use of data (the Data Act).</w:t>
      </w:r>
    </w:p>
    <w:bookmarkEnd w:id="312"/>
    <w:bookmarkStart w:id="313" w:name="X02fcb852d16bdc34be1cbf87b62adad251f9867"/>
    <w:p>
      <w:pPr>
        <w:pStyle w:val="Heading2"/>
      </w:pPr>
      <w:r>
        <w:t xml:space="preserve">G.3 United States legislation, regulation, and executive instruments</w:t>
      </w:r>
    </w:p>
    <w:p>
      <w:pPr>
        <w:pStyle w:val="FirstParagraph"/>
      </w:pPr>
      <w:r>
        <w:t xml:space="preserve">15 U.S.C. § 45 (Federal Trade Commission Act, Section 5).</w:t>
      </w:r>
    </w:p>
    <w:p>
      <w:pPr>
        <w:pStyle w:val="BodyText"/>
      </w:pPr>
      <w:r>
        <w:t xml:space="preserve">15 C.F.R. § 740.17 (Export Administration Regulations, mass market</w:t>
      </w:r>
      <w:r>
        <w:t xml:space="preserve"> </w:t>
      </w:r>
      <w:r>
        <w:t xml:space="preserve">exception).</w:t>
      </w:r>
    </w:p>
    <w:p>
      <w:pPr>
        <w:pStyle w:val="BodyText"/>
      </w:pPr>
      <w:r>
        <w:t xml:space="preserve">37 C.F.R. § 202.1 (United States Copyright Office Regulations).</w:t>
      </w:r>
    </w:p>
    <w:p>
      <w:pPr>
        <w:pStyle w:val="BodyText"/>
      </w:pPr>
      <w:r>
        <w:t xml:space="preserve">17 U.S.C. § 103 (Subject matter of copyright: Compilations and</w:t>
      </w:r>
      <w:r>
        <w:t xml:space="preserve"> </w:t>
      </w:r>
      <w:r>
        <w:t xml:space="preserve">derivative works).</w:t>
      </w:r>
    </w:p>
    <w:p>
      <w:pPr>
        <w:pStyle w:val="BodyText"/>
      </w:pPr>
      <w:r>
        <w:t xml:space="preserve">17 U.S.C. § 1052(e) (Trademark Act of 1946, Section 2(e) refusal</w:t>
      </w:r>
      <w:r>
        <w:t xml:space="preserve"> </w:t>
      </w:r>
      <w:r>
        <w:t xml:space="preserve">grounds).</w:t>
      </w:r>
    </w:p>
    <w:p>
      <w:pPr>
        <w:pStyle w:val="BodyText"/>
      </w:pPr>
      <w:r>
        <w:t xml:space="preserve">Executive Order 14110 of October 30, 2023 on the Safe, Secure, and</w:t>
      </w:r>
      <w:r>
        <w:t xml:space="preserve"> </w:t>
      </w:r>
      <w:r>
        <w:t xml:space="preserve">Trustworthy Development and Use of Artificial Intelligence.</w:t>
      </w:r>
    </w:p>
    <w:p>
      <w:pPr>
        <w:pStyle w:val="BodyText"/>
      </w:pPr>
      <w:r>
        <w:t xml:space="preserve">Office of Management and Budget Memorandum M-24-10 of March 28, 2024</w:t>
      </w:r>
      <w:r>
        <w:t xml:space="preserve"> </w:t>
      </w:r>
      <w:r>
        <w:t xml:space="preserve">on Advancing Governance, Innovation, and Risk Management for Agency Use</w:t>
      </w:r>
      <w:r>
        <w:t xml:space="preserve"> </w:t>
      </w:r>
      <w:r>
        <w:t xml:space="preserve">of Artificial Intelligence.</w:t>
      </w:r>
    </w:p>
    <w:bookmarkEnd w:id="313"/>
    <w:bookmarkStart w:id="314" w:name="g.4-united-states-state-legislation"/>
    <w:p>
      <w:pPr>
        <w:pStyle w:val="Heading2"/>
      </w:pPr>
      <w:r>
        <w:t xml:space="preserve">G.4 United States state legislation</w:t>
      </w:r>
    </w:p>
    <w:p>
      <w:pPr>
        <w:pStyle w:val="FirstParagraph"/>
      </w:pPr>
      <w:r>
        <w:t xml:space="preserve">California Senate Bill 942 of 2024 (AI Transparency Act).</w:t>
      </w:r>
    </w:p>
    <w:p>
      <w:pPr>
        <w:pStyle w:val="BodyText"/>
      </w:pPr>
      <w:r>
        <w:t xml:space="preserve">California Assembly Bill 853 of 2024 (Content Provenance).</w:t>
      </w:r>
    </w:p>
    <w:p>
      <w:pPr>
        <w:pStyle w:val="BodyText"/>
      </w:pPr>
      <w:r>
        <w:t xml:space="preserve">Colorado Senate Bill 24-205 (Colorado AI Act).</w:t>
      </w:r>
    </w:p>
    <w:p>
      <w:pPr>
        <w:pStyle w:val="BodyText"/>
      </w:pPr>
      <w:r>
        <w:t xml:space="preserve">Illinois Biometric Information Privacy Act, 740 ILCS 14.</w:t>
      </w:r>
    </w:p>
    <w:p>
      <w:pPr>
        <w:pStyle w:val="BodyText"/>
      </w:pPr>
      <w:r>
        <w:t xml:space="preserve">Texas Capture or Use of Biometric Identifier Act, Tex. Bus. &amp;</w:t>
      </w:r>
      <w:r>
        <w:t xml:space="preserve"> </w:t>
      </w:r>
      <w:r>
        <w:t xml:space="preserve">Com. Code § 503.001.</w:t>
      </w:r>
    </w:p>
    <w:p>
      <w:pPr>
        <w:pStyle w:val="BodyText"/>
      </w:pPr>
      <w:r>
        <w:t xml:space="preserve">Washington Revised Code § 19.375 (biometric identifiers).</w:t>
      </w:r>
    </w:p>
    <w:bookmarkEnd w:id="314"/>
    <w:bookmarkStart w:id="315" w:name="g.5-united-kingdom-legislation"/>
    <w:p>
      <w:pPr>
        <w:pStyle w:val="Heading2"/>
      </w:pPr>
      <w:r>
        <w:t xml:space="preserve">G.5 United Kingdom legislation</w:t>
      </w:r>
    </w:p>
    <w:p>
      <w:pPr>
        <w:pStyle w:val="FirstParagraph"/>
      </w:pPr>
      <w:r>
        <w:t xml:space="preserve">Online Safety Act 2023, 2023 c. 50.</w:t>
      </w:r>
    </w:p>
    <w:p>
      <w:pPr>
        <w:pStyle w:val="BodyText"/>
      </w:pPr>
      <w:r>
        <w:t xml:space="preserve">Data Protection Act 2018, 2018 c. 12.</w:t>
      </w:r>
    </w:p>
    <w:bookmarkEnd w:id="315"/>
    <w:bookmarkStart w:id="316" w:name="g.6-new-zealand-legislation"/>
    <w:p>
      <w:pPr>
        <w:pStyle w:val="Heading2"/>
      </w:pPr>
      <w:r>
        <w:t xml:space="preserve">G.6 New Zealand legislation</w:t>
      </w:r>
    </w:p>
    <w:p>
      <w:pPr>
        <w:pStyle w:val="FirstParagraph"/>
      </w:pPr>
      <w:r>
        <w:t xml:space="preserve">Privacy Act 2020, Act No. 31 of 2020.</w:t>
      </w:r>
    </w:p>
    <w:bookmarkEnd w:id="316"/>
    <w:bookmarkStart w:id="317" w:name="g.7-india-legislation"/>
    <w:p>
      <w:pPr>
        <w:pStyle w:val="Heading2"/>
      </w:pPr>
      <w:r>
        <w:t xml:space="preserve">G.7 India legislation</w:t>
      </w:r>
    </w:p>
    <w:p>
      <w:pPr>
        <w:pStyle w:val="FirstParagraph"/>
      </w:pPr>
      <w:r>
        <w:t xml:space="preserve">Digital Personal Data Protection Act 2023, Act No. 22 of 2023.</w:t>
      </w:r>
    </w:p>
    <w:bookmarkEnd w:id="317"/>
    <w:bookmarkStart w:id="318" w:name="g.8-council-of-europe-instruments"/>
    <w:p>
      <w:pPr>
        <w:pStyle w:val="Heading2"/>
      </w:pPr>
      <w:r>
        <w:t xml:space="preserve">G.8 Council of Europe instruments</w:t>
      </w:r>
    </w:p>
    <w:p>
      <w:pPr>
        <w:pStyle w:val="FirstParagraph"/>
      </w:pPr>
      <w:r>
        <w:t xml:space="preserve">Council of Europe Framework Convention on Artificial Intelligence and</w:t>
      </w:r>
      <w:r>
        <w:t xml:space="preserve"> </w:t>
      </w:r>
      <w:r>
        <w:t xml:space="preserve">Human Rights, Democracy and the Rule of Law, CETS No. 225, opened for</w:t>
      </w:r>
      <w:r>
        <w:t xml:space="preserve"> </w:t>
      </w:r>
      <w:r>
        <w:t xml:space="preserve">signature 5 September 2024.</w:t>
      </w:r>
    </w:p>
    <w:bookmarkEnd w:id="318"/>
    <w:bookmarkStart w:id="319" w:name="g.9-oecd-instruments"/>
    <w:p>
      <w:pPr>
        <w:pStyle w:val="Heading2"/>
      </w:pPr>
      <w:r>
        <w:t xml:space="preserve">G.9 OECD instruments</w:t>
      </w:r>
    </w:p>
    <w:p>
      <w:pPr>
        <w:pStyle w:val="FirstParagraph"/>
      </w:pPr>
      <w:r>
        <w:t xml:space="preserve">OECD Recommendation of the Council on Artificial Intelligence,</w:t>
      </w:r>
      <w:r>
        <w:t xml:space="preserve"> </w:t>
      </w:r>
      <w:r>
        <w:t xml:space="preserve">OECD/LEGAL/0449, adopted 22 May 2019, updated 3 May 2024.</w:t>
      </w:r>
    </w:p>
    <w:bookmarkEnd w:id="319"/>
    <w:bookmarkStart w:id="320" w:name="X8530007a6b4ea7bca758417e6d660d1de18606f"/>
    <w:p>
      <w:pPr>
        <w:pStyle w:val="Heading2"/>
      </w:pPr>
      <w:r>
        <w:t xml:space="preserve">G.10 Standards organizations and industry bodies</w:t>
      </w:r>
    </w:p>
    <w:p>
      <w:pPr>
        <w:pStyle w:val="FirstParagraph"/>
      </w:pPr>
      <w:r>
        <w:t xml:space="preserve">Coalition for Content Provenance and Authenticity,</w:t>
      </w:r>
      <w:r>
        <w:t xml:space="preserve"> </w:t>
      </w:r>
      <w:r>
        <w:rPr>
          <w:i/>
          <w:iCs/>
        </w:rPr>
        <w:t xml:space="preserve">Content</w:t>
      </w:r>
      <w:r>
        <w:rPr>
          <w:i/>
          <w:iCs/>
        </w:rPr>
        <w:t xml:space="preserve"> </w:t>
      </w:r>
      <w:r>
        <w:rPr>
          <w:i/>
          <w:iCs/>
        </w:rPr>
        <w:t xml:space="preserve">Credentials Technical Specification</w:t>
      </w:r>
      <w:r>
        <w:t xml:space="preserve">, current published version.</w:t>
      </w:r>
    </w:p>
    <w:p>
      <w:pPr>
        <w:pStyle w:val="BodyText"/>
      </w:pPr>
      <w:r>
        <w:t xml:space="preserve">FIDO Alliance,</w:t>
      </w:r>
      <w:r>
        <w:t xml:space="preserve"> </w:t>
      </w:r>
      <w:r>
        <w:rPr>
          <w:i/>
          <w:iCs/>
        </w:rPr>
        <w:t xml:space="preserve">Client to Authenticator Protocol (CTAP)</w:t>
      </w:r>
      <w:r>
        <w:rPr>
          <w:i/>
          <w:iCs/>
        </w:rPr>
        <w:t xml:space="preserve"> </w:t>
      </w:r>
      <w:r>
        <w:rPr>
          <w:i/>
          <w:iCs/>
        </w:rPr>
        <w:t xml:space="preserve">Specification</w:t>
      </w:r>
      <w:r>
        <w:t xml:space="preserve">, current published version.</w:t>
      </w:r>
    </w:p>
    <w:p>
      <w:pPr>
        <w:pStyle w:val="BodyText"/>
      </w:pPr>
      <w:r>
        <w:t xml:space="preserve">Coalition for Content Provenance and Authenticity (C2PA),</w:t>
      </w:r>
      <w:r>
        <w:t xml:space="preserve"> </w:t>
      </w:r>
      <w:r>
        <w:rPr>
          <w:i/>
          <w:iCs/>
        </w:rPr>
        <w:t xml:space="preserve">Manifest Specification</w:t>
      </w:r>
      <w:r>
        <w:t xml:space="preserve">, current published version.</w:t>
      </w:r>
    </w:p>
    <w:p>
      <w:pPr>
        <w:pStyle w:val="BodyText"/>
      </w:pPr>
      <w:r>
        <w:t xml:space="preserve">International Press Telecommunications Council,</w:t>
      </w:r>
      <w:r>
        <w:t xml:space="preserve"> </w:t>
      </w:r>
      <w:r>
        <w:rPr>
          <w:i/>
          <w:iCs/>
        </w:rPr>
        <w:t xml:space="preserve">IPTC Photo</w:t>
      </w:r>
      <w:r>
        <w:rPr>
          <w:i/>
          <w:iCs/>
        </w:rPr>
        <w:t xml:space="preserve"> </w:t>
      </w:r>
      <w:r>
        <w:rPr>
          <w:i/>
          <w:iCs/>
        </w:rPr>
        <w:t xml:space="preserve">Metadata Standard</w:t>
      </w:r>
      <w:r>
        <w:t xml:space="preserve">, current published version.</w:t>
      </w:r>
    </w:p>
    <w:p>
      <w:pPr>
        <w:pStyle w:val="BodyText"/>
      </w:pPr>
      <w:r>
        <w:t xml:space="preserve">World Wide Web Consortium,</w:t>
      </w:r>
      <w:r>
        <w:t xml:space="preserve"> </w:t>
      </w:r>
      <w:r>
        <w:rPr>
          <w:i/>
          <w:iCs/>
        </w:rPr>
        <w:t xml:space="preserve">Verifiable Credentials Data Model</w:t>
      </w:r>
      <w:r>
        <w:rPr>
          <w:i/>
          <w:iCs/>
        </w:rPr>
        <w:t xml:space="preserve"> </w:t>
      </w:r>
      <w:r>
        <w:rPr>
          <w:i/>
          <w:iCs/>
        </w:rPr>
        <w:t xml:space="preserve">2.0</w:t>
      </w:r>
      <w:r>
        <w:t xml:space="preserve">, W3C Recommendation.</w:t>
      </w:r>
    </w:p>
    <w:p>
      <w:pPr>
        <w:pStyle w:val="BodyText"/>
      </w:pPr>
      <w:r>
        <w:t xml:space="preserve">World Wide Web Consortium,</w:t>
      </w:r>
      <w:r>
        <w:t xml:space="preserve"> </w:t>
      </w:r>
      <w:r>
        <w:rPr>
          <w:i/>
          <w:iCs/>
        </w:rPr>
        <w:t xml:space="preserve">Decentralized Identifiers (DIDs)</w:t>
      </w:r>
      <w:r>
        <w:rPr>
          <w:i/>
          <w:iCs/>
        </w:rPr>
        <w:t xml:space="preserve"> </w:t>
      </w:r>
      <w:r>
        <w:rPr>
          <w:i/>
          <w:iCs/>
        </w:rPr>
        <w:t xml:space="preserve">v1.0</w:t>
      </w:r>
      <w:r>
        <w:t xml:space="preserve">, W3C Recommendation.</w:t>
      </w:r>
    </w:p>
    <w:bookmarkEnd w:id="320"/>
    <w:bookmarkStart w:id="321" w:name="g.11-the-ai-lab-published-works"/>
    <w:p>
      <w:pPr>
        <w:pStyle w:val="Heading2"/>
      </w:pPr>
      <w:r>
        <w:t xml:space="preserve">G.11 The AI Lab published works</w:t>
      </w:r>
    </w:p>
    <w:p>
      <w:pPr>
        <w:pStyle w:val="FirstParagraph"/>
      </w:pPr>
      <w:r>
        <w:t xml:space="preserve">The AI Lab Intelligence Unobscured, Inc.,</w:t>
      </w:r>
      <w:r>
        <w:t xml:space="preserve"> </w:t>
      </w:r>
      <w:r>
        <w:rPr>
          <w:i/>
          <w:iCs/>
        </w:rPr>
        <w:t xml:space="preserve">TIP Protocol</w:t>
      </w:r>
      <w:r>
        <w:rPr>
          <w:i/>
          <w:iCs/>
        </w:rPr>
        <w:t xml:space="preserve"> </w:t>
      </w:r>
      <w:r>
        <w:rPr>
          <w:i/>
          <w:iCs/>
        </w:rPr>
        <w:t xml:space="preserve">Specification, Version 5.0</w:t>
      </w:r>
      <w:r>
        <w:t xml:space="preserve">, Wilmington, Delaware, June 2026 (United</w:t>
      </w:r>
      <w:r>
        <w:t xml:space="preserve"> </w:t>
      </w:r>
      <w:r>
        <w:t xml:space="preserve">States Copyright Office Application No. 1-15175755931, pending;</w:t>
      </w:r>
      <w:r>
        <w:t xml:space="preserve"> </w:t>
      </w:r>
      <w:r>
        <w:t xml:space="preserve">derivative of Application No. 1-15116205291, pending).</w:t>
      </w:r>
    </w:p>
    <w:p>
      <w:pPr>
        <w:pStyle w:val="BodyText"/>
      </w:pPr>
      <w:r>
        <w:t xml:space="preserve">The AI Lab Intelligence Unobscured, Inc.,</w:t>
      </w:r>
      <w:r>
        <w:t xml:space="preserve"> </w:t>
      </w:r>
      <w:r>
        <w:rPr>
          <w:i/>
          <w:iCs/>
        </w:rPr>
        <w:t xml:space="preserve">TIP Protocol Code</w:t>
      </w:r>
      <w:r>
        <w:rPr>
          <w:i/>
          <w:iCs/>
        </w:rPr>
        <w:t xml:space="preserve"> </w:t>
      </w:r>
      <w:r>
        <w:rPr>
          <w:i/>
          <w:iCs/>
        </w:rPr>
        <w:t xml:space="preserve">License, Version 1.0 (TIPCL-1.0)</w:t>
      </w:r>
      <w:r>
        <w:t xml:space="preserve">, current published version at</w:t>
      </w:r>
      <w:r>
        <w:t xml:space="preserve"> </w:t>
      </w:r>
      <w:r>
        <w:t xml:space="preserve">theailab.org/tip-license.</w:t>
      </w:r>
    </w:p>
    <w:p>
      <w:pPr>
        <w:pStyle w:val="BodyText"/>
      </w:pPr>
      <w:r>
        <w:t xml:space="preserve">The AI Lab Intelligence Unobscured, Inc.,</w:t>
      </w:r>
      <w:r>
        <w:t xml:space="preserve"> </w:t>
      </w:r>
      <w:r>
        <w:rPr>
          <w:i/>
          <w:iCs/>
        </w:rPr>
        <w:t xml:space="preserve">AI Trust Council</w:t>
      </w:r>
      <w:r>
        <w:rPr>
          <w:i/>
          <w:iCs/>
        </w:rPr>
        <w:t xml:space="preserve"> </w:t>
      </w:r>
      <w:r>
        <w:rPr>
          <w:i/>
          <w:iCs/>
        </w:rPr>
        <w:t xml:space="preserve">Charter, Version 1.0</w:t>
      </w:r>
      <w:r>
        <w:t xml:space="preserve">, current published version at</w:t>
      </w:r>
      <w:r>
        <w:t xml:space="preserve"> </w:t>
      </w:r>
      <w:r>
        <w:t xml:space="preserve">theailab.org/ai-trust-council.</w:t>
      </w:r>
    </w:p>
    <w:p>
      <w:pPr>
        <w:pStyle w:val="BodyText"/>
      </w:pPr>
      <w:r>
        <w:t xml:space="preserve">The AI Lab Intelligence Unobscured, Inc.,</w:t>
      </w:r>
      <w:r>
        <w:t xml:space="preserve"> </w:t>
      </w:r>
      <w:r>
        <w:rPr>
          <w:i/>
          <w:iCs/>
        </w:rPr>
        <w:t xml:space="preserve">Founding Node Operator</w:t>
      </w:r>
      <w:r>
        <w:rPr>
          <w:i/>
          <w:iCs/>
        </w:rPr>
        <w:t xml:space="preserve"> </w:t>
      </w:r>
      <w:r>
        <w:rPr>
          <w:i/>
          <w:iCs/>
        </w:rPr>
        <w:t xml:space="preserve">Agreement template, Version 2.0</w:t>
      </w:r>
      <w:r>
        <w:t xml:space="preserve">, current published version.</w:t>
      </w:r>
    </w:p>
    <w:p>
      <w:pPr>
        <w:pStyle w:val="BodyText"/>
      </w:pPr>
      <w:r>
        <w:t xml:space="preserve">The AI Lab Intelligence Unobscured, Inc.,</w:t>
      </w:r>
      <w:r>
        <w:t xml:space="preserve"> </w:t>
      </w:r>
      <w:r>
        <w:rPr>
          <w:i/>
          <w:iCs/>
        </w:rPr>
        <w:t xml:space="preserve">Technical Requirements</w:t>
      </w:r>
      <w:r>
        <w:rPr>
          <w:i/>
          <w:iCs/>
        </w:rPr>
        <w:t xml:space="preserve"> </w:t>
      </w:r>
      <w:r>
        <w:rPr>
          <w:i/>
          <w:iCs/>
        </w:rPr>
        <w:t xml:space="preserve">Specification for Founding Node Operators, Version 2.0</w:t>
      </w:r>
      <w:r>
        <w:t xml:space="preserve">, current</w:t>
      </w:r>
      <w:r>
        <w:t xml:space="preserve"> </w:t>
      </w:r>
      <w:r>
        <w:t xml:space="preserve">published version.</w:t>
      </w:r>
    </w:p>
    <w:p>
      <w:pPr>
        <w:pStyle w:val="BodyText"/>
      </w:pPr>
      <w:r>
        <w:t xml:space="preserve">The AI Lab Intelligence Unobscured, Inc.,</w:t>
      </w:r>
      <w:r>
        <w:t xml:space="preserve"> </w:t>
      </w:r>
      <w:r>
        <w:rPr>
          <w:i/>
          <w:iCs/>
        </w:rPr>
        <w:t xml:space="preserve">Service Level Agreement</w:t>
      </w:r>
      <w:r>
        <w:rPr>
          <w:i/>
          <w:iCs/>
        </w:rPr>
        <w:t xml:space="preserve"> </w:t>
      </w:r>
      <w:r>
        <w:rPr>
          <w:i/>
          <w:iCs/>
        </w:rPr>
        <w:t xml:space="preserve">template for Founding Node Operators, Version 2.0</w:t>
      </w:r>
      <w:r>
        <w:t xml:space="preserve">, current</w:t>
      </w:r>
      <w:r>
        <w:t xml:space="preserve"> </w:t>
      </w:r>
      <w:r>
        <w:t xml:space="preserve">published version.</w:t>
      </w:r>
    </w:p>
    <w:p>
      <w:pPr>
        <w:pStyle w:val="BodyText"/>
      </w:pPr>
      <w:r>
        <w:t xml:space="preserve">The AI Lab Intelligence Unobscured, Inc.,</w:t>
      </w:r>
      <w:r>
        <w:t xml:space="preserve"> </w:t>
      </w:r>
      <w:r>
        <w:rPr>
          <w:i/>
          <w:iCs/>
        </w:rPr>
        <w:t xml:space="preserve">Trademark Usage Policy,</w:t>
      </w:r>
      <w:r>
        <w:rPr>
          <w:i/>
          <w:iCs/>
        </w:rPr>
        <w:t xml:space="preserve"> </w:t>
      </w:r>
      <w:r>
        <w:rPr>
          <w:i/>
          <w:iCs/>
        </w:rPr>
        <w:t xml:space="preserve">Version 1.0</w:t>
      </w:r>
      <w:r>
        <w:t xml:space="preserve">, current published version at</w:t>
      </w:r>
      <w:r>
        <w:t xml:space="preserve"> </w:t>
      </w:r>
      <w:r>
        <w:t xml:space="preserve">theailab.org/trademark.</w:t>
      </w:r>
    </w:p>
    <w:bookmarkEnd w:id="321"/>
    <w:bookmarkEnd w:id="322"/>
    <w:bookmarkStart w:id="330" w:name="appendix-h-contact-directory"/>
    <w:p>
      <w:pPr>
        <w:pStyle w:val="Heading1"/>
      </w:pPr>
      <w:r>
        <w:t xml:space="preserve">Appendix H: Contact Directory</w:t>
      </w:r>
    </w:p>
    <w:p>
      <w:pPr>
        <w:pStyle w:val="FirstParagraph"/>
      </w:pPr>
      <w:r>
        <w:t xml:space="preserve">This Appendix consolidates the published contact addresses for The AI</w:t>
      </w:r>
      <w:r>
        <w:t xml:space="preserve"> </w:t>
      </w:r>
      <w:r>
        <w:t xml:space="preserve">Lab Intelligence Unobscured, Inc. in connection with the Trust Identity</w:t>
      </w:r>
      <w:r>
        <w:t xml:space="preserve"> </w:t>
      </w:r>
      <w:r>
        <w:t xml:space="preserve">Protocol. Inquiries directed to the addresses below are received and</w:t>
      </w:r>
      <w:r>
        <w:t xml:space="preserve"> </w:t>
      </w:r>
      <w:r>
        <w:t xml:space="preserve">routed by The AI Lab during ordinary business hours in the Eastern Time</w:t>
      </w:r>
      <w:r>
        <w:t xml:space="preserve"> </w:t>
      </w:r>
      <w:r>
        <w:t xml:space="preserve">Zone of the United States.</w:t>
      </w:r>
    </w:p>
    <w:bookmarkStart w:id="323" w:name="X8b2b06dba8391ea84f3d6e83cc407422d8b7ebc"/>
    <w:p>
      <w:pPr>
        <w:pStyle w:val="Heading2"/>
      </w:pPr>
      <w:r>
        <w:t xml:space="preserve">H.1 Licensing and commercial implementation</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Purpose</w:t>
            </w:r>
          </w:p>
        </w:tc>
        <w:tc>
          <w:tcPr/>
          <w:p>
            <w:pPr>
              <w:pStyle w:val="Compact"/>
            </w:pPr>
            <w:r>
              <w:t xml:space="preserve">Address</w:t>
            </w:r>
          </w:p>
        </w:tc>
      </w:tr>
      <w:tr>
        <w:tc>
          <w:tcPr/>
          <w:p>
            <w:pPr>
              <w:pStyle w:val="Compact"/>
            </w:pPr>
            <w:r>
              <w:t xml:space="preserve">Commercial License inquiries (any tier)</w:t>
            </w:r>
          </w:p>
        </w:tc>
        <w:tc>
          <w:tcPr/>
          <w:p>
            <w:pPr>
              <w:pStyle w:val="Compact"/>
            </w:pPr>
            <w:r>
              <w:rPr>
                <w:rStyle w:val="VerbatimChar"/>
              </w:rPr>
              <w:t xml:space="preserve">licensing@theailab.org</w:t>
            </w:r>
          </w:p>
        </w:tc>
      </w:tr>
      <w:tr>
        <w:tc>
          <w:tcPr/>
          <w:p>
            <w:pPr>
              <w:pStyle w:val="Compact"/>
            </w:pPr>
            <w:r>
              <w:t xml:space="preserve">Free Tier eligibility questions</w:t>
            </w:r>
          </w:p>
        </w:tc>
        <w:tc>
          <w:tcPr/>
          <w:p>
            <w:pPr>
              <w:pStyle w:val="Compact"/>
            </w:pPr>
            <w:r>
              <w:rPr>
                <w:rStyle w:val="VerbatimChar"/>
              </w:rPr>
              <w:t xml:space="preserve">licensing@theailab.org</w:t>
            </w:r>
          </w:p>
        </w:tc>
      </w:tr>
      <w:tr>
        <w:tc>
          <w:tcPr/>
          <w:p>
            <w:pPr>
              <w:pStyle w:val="Compact"/>
            </w:pPr>
            <w:r>
              <w:t xml:space="preserve">Trademark Usage Policy</w:t>
            </w:r>
          </w:p>
        </w:tc>
        <w:tc>
          <w:tcPr/>
          <w:p>
            <w:pPr>
              <w:pStyle w:val="Compact"/>
            </w:pPr>
            <w:r>
              <w:rPr>
                <w:rStyle w:val="VerbatimChar"/>
              </w:rPr>
              <w:t xml:space="preserve">legal@theailab.org</w:t>
            </w:r>
          </w:p>
        </w:tc>
      </w:tr>
      <w:tr>
        <w:tc>
          <w:tcPr/>
          <w:p>
            <w:pPr>
              <w:pStyle w:val="Compact"/>
            </w:pPr>
            <w:r>
              <w:t xml:space="preserve">Web</w:t>
            </w:r>
          </w:p>
        </w:tc>
        <w:tc>
          <w:tcPr/>
          <w:p>
            <w:pPr>
              <w:pStyle w:val="Compact"/>
            </w:pPr>
            <w:r>
              <w:t xml:space="preserve">theailab.org/tip-license</w:t>
            </w:r>
          </w:p>
        </w:tc>
      </w:tr>
    </w:tbl>
    <w:bookmarkEnd w:id="323"/>
    <w:bookmarkStart w:id="324" w:name="h.2-network-participation"/>
    <w:p>
      <w:pPr>
        <w:pStyle w:val="Heading2"/>
      </w:pPr>
      <w:r>
        <w:t xml:space="preserve">H.2 Network participation</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Purpose</w:t>
            </w:r>
          </w:p>
        </w:tc>
        <w:tc>
          <w:tcPr/>
          <w:p>
            <w:pPr>
              <w:pStyle w:val="Compact"/>
            </w:pPr>
            <w:r>
              <w:t xml:space="preserve">Address</w:t>
            </w:r>
          </w:p>
        </w:tc>
      </w:tr>
      <w:tr>
        <w:tc>
          <w:tcPr/>
          <w:p>
            <w:pPr>
              <w:pStyle w:val="Compact"/>
            </w:pPr>
            <w:r>
              <w:t xml:space="preserve">Founding Node Operator applications</w:t>
            </w:r>
          </w:p>
        </w:tc>
        <w:tc>
          <w:tcPr/>
          <w:p>
            <w:pPr>
              <w:pStyle w:val="Compact"/>
            </w:pPr>
            <w:r>
              <w:rPr>
                <w:rStyle w:val="VerbatimChar"/>
              </w:rPr>
              <w:t xml:space="preserve">nodes@theailab.org</w:t>
            </w:r>
          </w:p>
        </w:tc>
      </w:tr>
      <w:tr>
        <w:tc>
          <w:tcPr/>
          <w:p>
            <w:pPr>
              <w:pStyle w:val="Compact"/>
            </w:pPr>
            <w:r>
              <w:t xml:space="preserve">Web</w:t>
            </w:r>
          </w:p>
        </w:tc>
        <w:tc>
          <w:tcPr/>
          <w:p>
            <w:pPr>
              <w:pStyle w:val="Compact"/>
            </w:pPr>
            <w:r>
              <w:t xml:space="preserve">theailab.org/founding-node</w:t>
            </w:r>
          </w:p>
        </w:tc>
      </w:tr>
      <w:tr>
        <w:tc>
          <w:tcPr/>
          <w:p>
            <w:pPr>
              <w:pStyle w:val="Compact"/>
            </w:pPr>
            <w:r>
              <w:t xml:space="preserve">Verification Provider accreditation inquiries</w:t>
            </w:r>
          </w:p>
        </w:tc>
        <w:tc>
          <w:tcPr/>
          <w:p>
            <w:pPr>
              <w:pStyle w:val="Compact"/>
            </w:pPr>
            <w:r>
              <w:rPr>
                <w:rStyle w:val="VerbatimChar"/>
              </w:rPr>
              <w:t xml:space="preserve">licensing@theailab.org</w:t>
            </w:r>
          </w:p>
        </w:tc>
      </w:tr>
      <w:tr>
        <w:tc>
          <w:tcPr/>
          <w:p>
            <w:pPr>
              <w:pStyle w:val="Compact"/>
            </w:pPr>
            <w:r>
              <w:t xml:space="preserve">Web</w:t>
            </w:r>
          </w:p>
        </w:tc>
        <w:tc>
          <w:tcPr/>
          <w:p>
            <w:pPr>
              <w:pStyle w:val="Compact"/>
            </w:pPr>
            <w:r>
              <w:t xml:space="preserve">theailab.org/tip-verification-provider</w:t>
            </w:r>
          </w:p>
        </w:tc>
      </w:tr>
    </w:tbl>
    <w:bookmarkEnd w:id="324"/>
    <w:bookmarkStart w:id="325" w:name="h.3-governance"/>
    <w:p>
      <w:pPr>
        <w:pStyle w:val="Heading2"/>
      </w:pPr>
      <w:r>
        <w:t xml:space="preserve">H.3 Governance</w:t>
      </w:r>
    </w:p>
    <w:tbl>
      <w:tblPr>
        <w:tblStyle w:val="Table"/>
        <w:tblW w:type="pct" w:w="5000"/>
        <w:tblLayout w:type="fixed"/>
        <w:tblLook w:firstRow="1" w:lastRow="0" w:firstColumn="0" w:lastColumn="0" w:noHBand="0" w:noVBand="0" w:val="0020"/>
      </w:tblPr>
      <w:tblGrid>
        <w:gridCol w:w="4556"/>
        <w:gridCol w:w="3363"/>
      </w:tblGrid>
      <w:tr>
        <w:trPr>
          <w:tblHeader w:val="on"/>
        </w:trPr>
        <w:tc>
          <w:tcPr/>
          <w:p>
            <w:pPr>
              <w:pStyle w:val="Compact"/>
            </w:pPr>
            <w:r>
              <w:t xml:space="preserve">Purpose</w:t>
            </w:r>
          </w:p>
        </w:tc>
        <w:tc>
          <w:tcPr/>
          <w:p>
            <w:pPr>
              <w:pStyle w:val="Compact"/>
            </w:pPr>
            <w:r>
              <w:t xml:space="preserve">Address</w:t>
            </w:r>
          </w:p>
        </w:tc>
      </w:tr>
      <w:tr>
        <w:tc>
          <w:tcPr/>
          <w:p>
            <w:pPr>
              <w:pStyle w:val="Compact"/>
            </w:pPr>
            <w:r>
              <w:t xml:space="preserve">AI Trust Council inquiries</w:t>
            </w:r>
          </w:p>
        </w:tc>
        <w:tc>
          <w:tcPr/>
          <w:p>
            <w:pPr>
              <w:pStyle w:val="Compact"/>
            </w:pPr>
            <w:r>
              <w:rPr>
                <w:rStyle w:val="VerbatimChar"/>
              </w:rPr>
              <w:t xml:space="preserve">council@theailab.org</w:t>
            </w:r>
          </w:p>
        </w:tc>
      </w:tr>
      <w:tr>
        <w:tc>
          <w:tcPr/>
          <w:p>
            <w:pPr>
              <w:pStyle w:val="Compact"/>
            </w:pPr>
            <w:r>
              <w:t xml:space="preserve">Membership applications (Network Period)</w:t>
            </w:r>
          </w:p>
        </w:tc>
        <w:tc>
          <w:tcPr/>
          <w:p>
            <w:pPr>
              <w:pStyle w:val="Compact"/>
            </w:pPr>
            <w:r>
              <w:rPr>
                <w:rStyle w:val="VerbatimChar"/>
              </w:rPr>
              <w:t xml:space="preserve">council@theailab.org</w:t>
            </w:r>
          </w:p>
        </w:tc>
      </w:tr>
      <w:tr>
        <w:tc>
          <w:tcPr/>
          <w:p>
            <w:pPr>
              <w:pStyle w:val="Compact"/>
            </w:pPr>
            <w:r>
              <w:t xml:space="preserve">Web</w:t>
            </w:r>
          </w:p>
        </w:tc>
        <w:tc>
          <w:tcPr/>
          <w:p>
            <w:pPr>
              <w:pStyle w:val="Compact"/>
            </w:pPr>
            <w:r>
              <w:t xml:space="preserve">theailab.org/ai-trust-council</w:t>
            </w:r>
          </w:p>
        </w:tc>
      </w:tr>
      <w:tr>
        <w:tc>
          <w:tcPr/>
          <w:p>
            <w:pPr>
              <w:pStyle w:val="Compact"/>
            </w:pPr>
            <w:r>
              <w:t xml:space="preserve">Dispute filings</w:t>
            </w:r>
          </w:p>
        </w:tc>
        <w:tc>
          <w:tcPr/>
          <w:p>
            <w:pPr>
              <w:pStyle w:val="Compact"/>
            </w:pPr>
            <w:r>
              <w:rPr>
                <w:rStyle w:val="VerbatimChar"/>
              </w:rPr>
              <w:t xml:space="preserve">council@theailab.org</w:t>
            </w:r>
          </w:p>
        </w:tc>
      </w:tr>
    </w:tbl>
    <w:bookmarkEnd w:id="325"/>
    <w:bookmarkStart w:id="326" w:name="h.4-technical-engagement"/>
    <w:p>
      <w:pPr>
        <w:pStyle w:val="Heading2"/>
      </w:pPr>
      <w:r>
        <w:t xml:space="preserve">H.4 Technical engagement</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Purpose</w:t>
            </w:r>
          </w:p>
        </w:tc>
        <w:tc>
          <w:tcPr/>
          <w:p>
            <w:pPr>
              <w:pStyle w:val="Compact"/>
            </w:pPr>
            <w:r>
              <w:t xml:space="preserve">Address</w:t>
            </w:r>
          </w:p>
        </w:tc>
      </w:tr>
      <w:tr>
        <w:tc>
          <w:tcPr/>
          <w:p>
            <w:pPr>
              <w:pStyle w:val="Compact"/>
            </w:pPr>
            <w:r>
              <w:t xml:space="preserve">Technical inquiries</w:t>
            </w:r>
          </w:p>
        </w:tc>
        <w:tc>
          <w:tcPr/>
          <w:p>
            <w:pPr>
              <w:pStyle w:val="Compact"/>
            </w:pPr>
            <w:r>
              <w:rPr>
                <w:rStyle w:val="VerbatimChar"/>
              </w:rPr>
              <w:t xml:space="preserve">tip@theailab.org</w:t>
            </w:r>
          </w:p>
        </w:tc>
      </w:tr>
      <w:tr>
        <w:tc>
          <w:tcPr/>
          <w:p>
            <w:pPr>
              <w:pStyle w:val="Compact"/>
            </w:pPr>
            <w:r>
              <w:t xml:space="preserve">Integration support</w:t>
            </w:r>
          </w:p>
        </w:tc>
        <w:tc>
          <w:tcPr/>
          <w:p>
            <w:pPr>
              <w:pStyle w:val="Compact"/>
            </w:pPr>
            <w:r>
              <w:rPr>
                <w:rStyle w:val="VerbatimChar"/>
              </w:rPr>
              <w:t xml:space="preserve">integrations@theailab.org</w:t>
            </w:r>
          </w:p>
        </w:tc>
      </w:tr>
      <w:tr>
        <w:tc>
          <w:tcPr/>
          <w:p>
            <w:pPr>
              <w:pStyle w:val="Compact"/>
            </w:pPr>
            <w:r>
              <w:t xml:space="preserve">Conformance inquiries</w:t>
            </w:r>
          </w:p>
        </w:tc>
        <w:tc>
          <w:tcPr/>
          <w:p>
            <w:pPr>
              <w:pStyle w:val="Compact"/>
            </w:pPr>
            <w:r>
              <w:rPr>
                <w:rStyle w:val="VerbatimChar"/>
              </w:rPr>
              <w:t xml:space="preserve">compliance@theailab.org</w:t>
            </w:r>
          </w:p>
        </w:tc>
      </w:tr>
      <w:tr>
        <w:tc>
          <w:tcPr/>
          <w:p>
            <w:pPr>
              <w:pStyle w:val="Compact"/>
            </w:pPr>
            <w:r>
              <w:t xml:space="preserve">Security reports</w:t>
            </w:r>
          </w:p>
        </w:tc>
        <w:tc>
          <w:tcPr/>
          <w:p>
            <w:pPr>
              <w:pStyle w:val="Compact"/>
            </w:pPr>
            <w:r>
              <w:rPr>
                <w:rStyle w:val="VerbatimChar"/>
              </w:rPr>
              <w:t xml:space="preserve">security@theailab.org</w:t>
            </w:r>
          </w:p>
        </w:tc>
      </w:tr>
      <w:tr>
        <w:tc>
          <w:tcPr/>
          <w:p>
            <w:pPr>
              <w:pStyle w:val="Compact"/>
            </w:pPr>
            <w:r>
              <w:t xml:space="preserve">Standards engagement</w:t>
            </w:r>
          </w:p>
        </w:tc>
        <w:tc>
          <w:tcPr/>
          <w:p>
            <w:pPr>
              <w:pStyle w:val="Compact"/>
            </w:pPr>
            <w:r>
              <w:rPr>
                <w:rStyle w:val="VerbatimChar"/>
              </w:rPr>
              <w:t xml:space="preserve">standards@theailab.org</w:t>
            </w:r>
          </w:p>
        </w:tc>
      </w:tr>
      <w:tr>
        <w:tc>
          <w:tcPr/>
          <w:p>
            <w:pPr>
              <w:pStyle w:val="Compact"/>
            </w:pPr>
            <w:r>
              <w:t xml:space="preserve">Operations</w:t>
            </w:r>
          </w:p>
        </w:tc>
        <w:tc>
          <w:tcPr/>
          <w:p>
            <w:pPr>
              <w:pStyle w:val="Compact"/>
            </w:pPr>
            <w:r>
              <w:rPr>
                <w:rStyle w:val="VerbatimChar"/>
              </w:rPr>
              <w:t xml:space="preserve">operations@theailab.org</w:t>
            </w:r>
          </w:p>
        </w:tc>
      </w:tr>
      <w:tr>
        <w:tc>
          <w:tcPr/>
          <w:p>
            <w:pPr>
              <w:pStyle w:val="Compact"/>
            </w:pPr>
            <w:r>
              <w:t xml:space="preserve">Web</w:t>
            </w:r>
          </w:p>
        </w:tc>
        <w:tc>
          <w:tcPr/>
          <w:p>
            <w:pPr>
              <w:pStyle w:val="Compact"/>
            </w:pPr>
            <w:r>
              <w:t xml:space="preserve">theailab.org/tip-protocol</w:t>
            </w:r>
          </w:p>
        </w:tc>
      </w:tr>
    </w:tbl>
    <w:bookmarkEnd w:id="326"/>
    <w:bookmarkStart w:id="327" w:name="h.5-legal"/>
    <w:p>
      <w:pPr>
        <w:pStyle w:val="Heading2"/>
      </w:pPr>
      <w:r>
        <w:t xml:space="preserve">H.5 Legal</w:t>
      </w:r>
    </w:p>
    <w:tbl>
      <w:tblPr>
        <w:tblStyle w:val="Table"/>
        <w:tblW w:type="pct" w:w="5000"/>
        <w:tblLayout w:type="fixed"/>
        <w:tblLook w:firstRow="1" w:lastRow="0" w:firstColumn="0" w:lastColumn="0" w:noHBand="0" w:noVBand="0" w:val="0020"/>
      </w:tblPr>
      <w:tblGrid>
        <w:gridCol w:w="5465"/>
        <w:gridCol w:w="2454"/>
      </w:tblGrid>
      <w:tr>
        <w:trPr>
          <w:tblHeader w:val="on"/>
        </w:trPr>
        <w:tc>
          <w:tcPr/>
          <w:p>
            <w:pPr>
              <w:pStyle w:val="Compact"/>
            </w:pPr>
            <w:r>
              <w:t xml:space="preserve">Purpose</w:t>
            </w:r>
          </w:p>
        </w:tc>
        <w:tc>
          <w:tcPr/>
          <w:p>
            <w:pPr>
              <w:pStyle w:val="Compact"/>
            </w:pPr>
            <w:r>
              <w:t xml:space="preserve">Address</w:t>
            </w:r>
          </w:p>
        </w:tc>
      </w:tr>
      <w:tr>
        <w:tc>
          <w:tcPr/>
          <w:p>
            <w:pPr>
              <w:pStyle w:val="Compact"/>
            </w:pPr>
            <w:r>
              <w:t xml:space="preserve">General Counsel</w:t>
            </w:r>
          </w:p>
        </w:tc>
        <w:tc>
          <w:tcPr/>
          <w:p>
            <w:pPr>
              <w:pStyle w:val="Compact"/>
            </w:pPr>
            <w:r>
              <w:rPr>
                <w:rStyle w:val="VerbatimChar"/>
              </w:rPr>
              <w:t xml:space="preserve">legal@theailab.org</w:t>
            </w:r>
          </w:p>
        </w:tc>
      </w:tr>
      <w:tr>
        <w:tc>
          <w:tcPr/>
          <w:p>
            <w:pPr>
              <w:pStyle w:val="Compact"/>
            </w:pPr>
            <w:r>
              <w:t xml:space="preserve">Trademark and copyright inquiries</w:t>
            </w:r>
          </w:p>
        </w:tc>
        <w:tc>
          <w:tcPr/>
          <w:p>
            <w:pPr>
              <w:pStyle w:val="Compact"/>
            </w:pPr>
            <w:r>
              <w:rPr>
                <w:rStyle w:val="VerbatimChar"/>
              </w:rPr>
              <w:t xml:space="preserve">legal@theailab.org</w:t>
            </w:r>
          </w:p>
        </w:tc>
      </w:tr>
      <w:tr>
        <w:tc>
          <w:tcPr/>
          <w:p>
            <w:pPr>
              <w:pStyle w:val="Compact"/>
            </w:pPr>
            <w:r>
              <w:t xml:space="preserve">Regulatory and supervisory authority engagement</w:t>
            </w:r>
          </w:p>
        </w:tc>
        <w:tc>
          <w:tcPr/>
          <w:p>
            <w:pPr>
              <w:pStyle w:val="Compact"/>
            </w:pPr>
            <w:r>
              <w:rPr>
                <w:rStyle w:val="VerbatimChar"/>
              </w:rPr>
              <w:t xml:space="preserve">legal@theailab.org</w:t>
            </w:r>
          </w:p>
        </w:tc>
      </w:tr>
    </w:tbl>
    <w:bookmarkEnd w:id="327"/>
    <w:bookmarkStart w:id="328" w:name="h.6-press-and-public-affairs"/>
    <w:p>
      <w:pPr>
        <w:pStyle w:val="Heading2"/>
      </w:pPr>
      <w:r>
        <w:t xml:space="preserve">H.6 Press and public affairs</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Purpose</w:t>
            </w:r>
          </w:p>
        </w:tc>
        <w:tc>
          <w:tcPr/>
          <w:p>
            <w:pPr>
              <w:pStyle w:val="Compact"/>
            </w:pPr>
            <w:r>
              <w:t xml:space="preserve">Address</w:t>
            </w:r>
          </w:p>
        </w:tc>
      </w:tr>
      <w:tr>
        <w:tc>
          <w:tcPr/>
          <w:p>
            <w:pPr>
              <w:pStyle w:val="Compact"/>
            </w:pPr>
            <w:r>
              <w:t xml:space="preserve">Press inquiries</w:t>
            </w:r>
          </w:p>
        </w:tc>
        <w:tc>
          <w:tcPr/>
          <w:p>
            <w:pPr>
              <w:pStyle w:val="Compact"/>
            </w:pPr>
            <w:r>
              <w:rPr>
                <w:rStyle w:val="VerbatimChar"/>
              </w:rPr>
              <w:t xml:space="preserve">press@theailab.org</w:t>
            </w:r>
          </w:p>
        </w:tc>
      </w:tr>
      <w:tr>
        <w:tc>
          <w:tcPr/>
          <w:p>
            <w:pPr>
              <w:pStyle w:val="Compact"/>
            </w:pPr>
            <w:r>
              <w:t xml:space="preserve">Public affairs and policy inquiries</w:t>
            </w:r>
          </w:p>
        </w:tc>
        <w:tc>
          <w:tcPr/>
          <w:p>
            <w:pPr>
              <w:pStyle w:val="Compact"/>
            </w:pPr>
            <w:r>
              <w:rPr>
                <w:rStyle w:val="VerbatimChar"/>
              </w:rPr>
              <w:t xml:space="preserve">press@theailab.org</w:t>
            </w:r>
          </w:p>
        </w:tc>
      </w:tr>
    </w:tbl>
    <w:bookmarkEnd w:id="328"/>
    <w:bookmarkStart w:id="329" w:name="h.7-postal-address"/>
    <w:p>
      <w:pPr>
        <w:pStyle w:val="Heading2"/>
      </w:pPr>
      <w:r>
        <w:t xml:space="preserve">H.7 Postal address</w:t>
      </w:r>
    </w:p>
    <w:p>
      <w:pPr>
        <w:pStyle w:val="FirstParagraph"/>
      </w:pPr>
      <w:r>
        <w:t xml:space="preserve">The AI Lab Intelligence Unobscured, Inc. Wilmington, Delaware United</w:t>
      </w:r>
      <w:r>
        <w:t xml:space="preserve"> </w:t>
      </w:r>
      <w:r>
        <w:t xml:space="preserve">States.</w:t>
      </w:r>
    </w:p>
    <w:p>
      <w:pPr>
        <w:pStyle w:val="BodyText"/>
      </w:pPr>
      <w:r>
        <w:t xml:space="preserve">Specific street addresses, courier delivery instructions, and</w:t>
      </w:r>
      <w:r>
        <w:t xml:space="preserve"> </w:t>
      </w:r>
      <w:r>
        <w:t xml:space="preserve">registered agent service-of-process addresses are available on written</w:t>
      </w:r>
      <w:r>
        <w:t xml:space="preserve"> </w:t>
      </w:r>
      <w:r>
        <w:t xml:space="preserve">request to</w:t>
      </w:r>
      <w:r>
        <w:t xml:space="preserve"> </w:t>
      </w:r>
      <w:r>
        <w:rPr>
          <w:rStyle w:val="VerbatimChar"/>
        </w:rPr>
        <w:t xml:space="preserve">legal@theailab.org</w:t>
      </w:r>
      <w:r>
        <w:t xml:space="preserve">.</w:t>
      </w:r>
    </w:p>
    <w:bookmarkEnd w:id="329"/>
    <w:bookmarkEnd w:id="330"/>
    <w:bookmarkStart w:id="339" w:name="appendix-i-suggested-citation"/>
    <w:p>
      <w:pPr>
        <w:pStyle w:val="Heading1"/>
      </w:pPr>
      <w:r>
        <w:t xml:space="preserve">Appendix I: Suggested Citation</w:t>
      </w:r>
    </w:p>
    <w:p>
      <w:pPr>
        <w:pStyle w:val="FirstParagraph"/>
      </w:pPr>
      <w:r>
        <w:t xml:space="preserve">The suggested citation block below is reproduced from the inside</w:t>
      </w:r>
      <w:r>
        <w:t xml:space="preserve"> </w:t>
      </w:r>
      <w:r>
        <w:t xml:space="preserve">front cover for the convenience of the reader.</w:t>
      </w:r>
    </w:p>
    <w:bookmarkStart w:id="331" w:name="i.1-plain-text"/>
    <w:p>
      <w:pPr>
        <w:pStyle w:val="Heading2"/>
      </w:pPr>
      <w:r>
        <w:t xml:space="preserve">I.1 Plain text</w:t>
      </w:r>
    </w:p>
    <w:p>
      <w:pPr>
        <w:pStyle w:val="FirstParagraph"/>
      </w:pPr>
      <w:r>
        <w:t xml:space="preserve">Mendhe, D. (2026).</w:t>
      </w:r>
      <w:r>
        <w:t xml:space="preserve"> </w:t>
      </w:r>
      <w:r>
        <w:rPr>
          <w:i/>
          <w:iCs/>
        </w:rPr>
        <w:t xml:space="preserve">TIP Protocol Whitepaper, Version 1.0: Trust</w:t>
      </w:r>
      <w:r>
        <w:rPr>
          <w:i/>
          <w:iCs/>
        </w:rPr>
        <w:t xml:space="preserve"> </w:t>
      </w:r>
      <w:r>
        <w:rPr>
          <w:i/>
          <w:iCs/>
        </w:rPr>
        <w:t xml:space="preserve">Identity Protocol for the Verifiable Internet</w:t>
      </w:r>
      <w:r>
        <w:t xml:space="preserve">. The AI Lab</w:t>
      </w:r>
      <w:r>
        <w:t xml:space="preserve"> </w:t>
      </w:r>
      <w:r>
        <w:t xml:space="preserve">Intelligence Unobscured, Inc. Wilmington, Delaware. United States</w:t>
      </w:r>
      <w:r>
        <w:t xml:space="preserve"> </w:t>
      </w:r>
      <w:r>
        <w:t xml:space="preserve">Copyright Office Application No. 1-15175755931. Available at</w:t>
      </w:r>
      <w:r>
        <w:t xml:space="preserve"> </w:t>
      </w:r>
      <w:r>
        <w:t xml:space="preserve">https://theailab.org/whitepaper.</w:t>
      </w:r>
    </w:p>
    <w:bookmarkEnd w:id="331"/>
    <w:bookmarkStart w:id="332" w:name="i.2-ieee"/>
    <w:p>
      <w:pPr>
        <w:pStyle w:val="Heading2"/>
      </w:pPr>
      <w:r>
        <w:t xml:space="preserve">I.2 IEEE</w:t>
      </w:r>
    </w:p>
    <w:p>
      <w:pPr>
        <w:pStyle w:val="FirstParagraph"/>
      </w:pPr>
      <w:r>
        <w:t xml:space="preserve">D. Mendhe, “TIP Protocol Whitepaper, Version 1.0,” The AI Lab</w:t>
      </w:r>
      <w:r>
        <w:t xml:space="preserve"> </w:t>
      </w:r>
      <w:r>
        <w:t xml:space="preserve">Intelligence Unobscured, Inc., Wilmington, DE, 2026.</w:t>
      </w:r>
    </w:p>
    <w:bookmarkEnd w:id="332"/>
    <w:bookmarkStart w:id="333" w:name="i.3-acm"/>
    <w:p>
      <w:pPr>
        <w:pStyle w:val="Heading2"/>
      </w:pPr>
      <w:r>
        <w:t xml:space="preserve">I.3 ACM</w:t>
      </w:r>
    </w:p>
    <w:p>
      <w:pPr>
        <w:pStyle w:val="FirstParagraph"/>
      </w:pPr>
      <w:r>
        <w:t xml:space="preserve">Dinesh Mendhe. 2026.</w:t>
      </w:r>
      <w:r>
        <w:t xml:space="preserve"> </w:t>
      </w:r>
      <w:r>
        <w:rPr>
          <w:i/>
          <w:iCs/>
        </w:rPr>
        <w:t xml:space="preserve">TIP Protocol Whitepaper, Version 1.0</w:t>
      </w:r>
      <w:r>
        <w:t xml:space="preserve">.</w:t>
      </w:r>
      <w:r>
        <w:t xml:space="preserve"> </w:t>
      </w:r>
      <w:r>
        <w:t xml:space="preserve">The AI Lab Intelligence Unobscured, Inc., Wilmington, DE.</w:t>
      </w:r>
    </w:p>
    <w:bookmarkEnd w:id="333"/>
    <w:bookmarkStart w:id="334" w:name="i.4-apa"/>
    <w:p>
      <w:pPr>
        <w:pStyle w:val="Heading2"/>
      </w:pPr>
      <w:r>
        <w:t xml:space="preserve">I.4 APA</w:t>
      </w:r>
    </w:p>
    <w:p>
      <w:pPr>
        <w:pStyle w:val="FirstParagraph"/>
      </w:pPr>
      <w:r>
        <w:t xml:space="preserve">Mendhe, D. (2026).</w:t>
      </w:r>
      <w:r>
        <w:t xml:space="preserve"> </w:t>
      </w:r>
      <w:r>
        <w:rPr>
          <w:i/>
          <w:iCs/>
        </w:rPr>
        <w:t xml:space="preserve">TIP Protocol Whitepaper, Version 1.0: Trust</w:t>
      </w:r>
      <w:r>
        <w:rPr>
          <w:i/>
          <w:iCs/>
        </w:rPr>
        <w:t xml:space="preserve"> </w:t>
      </w:r>
      <w:r>
        <w:rPr>
          <w:i/>
          <w:iCs/>
        </w:rPr>
        <w:t xml:space="preserve">Identity Protocol for the Verifiable Internet</w:t>
      </w:r>
      <w:r>
        <w:t xml:space="preserve">. The AI Lab</w:t>
      </w:r>
      <w:r>
        <w:t xml:space="preserve"> </w:t>
      </w:r>
      <w:r>
        <w:t xml:space="preserve">Intelligence Unobscured, Inc.</w:t>
      </w:r>
    </w:p>
    <w:bookmarkEnd w:id="334"/>
    <w:bookmarkStart w:id="335" w:name="i.5-chicago"/>
    <w:p>
      <w:pPr>
        <w:pStyle w:val="Heading2"/>
      </w:pPr>
      <w:r>
        <w:t xml:space="preserve">I.5 Chicago</w:t>
      </w:r>
    </w:p>
    <w:p>
      <w:pPr>
        <w:pStyle w:val="FirstParagraph"/>
      </w:pPr>
      <w:r>
        <w:t xml:space="preserve">Mendhe, Dinesh. 2026.</w:t>
      </w:r>
      <w:r>
        <w:t xml:space="preserve"> </w:t>
      </w:r>
      <w:r>
        <w:rPr>
          <w:i/>
          <w:iCs/>
        </w:rPr>
        <w:t xml:space="preserve">TIP Protocol Whitepaper, Version 1.0</w:t>
      </w:r>
      <w:r>
        <w:t xml:space="preserve">.</w:t>
      </w:r>
      <w:r>
        <w:t xml:space="preserve"> </w:t>
      </w:r>
      <w:r>
        <w:t xml:space="preserve">Wilmington, DE: The AI Lab Intelligence Unobscured, Inc.</w:t>
      </w:r>
    </w:p>
    <w:bookmarkEnd w:id="335"/>
    <w:bookmarkStart w:id="336" w:name="i.6-bibtex"/>
    <w:p>
      <w:pPr>
        <w:pStyle w:val="Heading2"/>
      </w:pPr>
      <w:r>
        <w:t xml:space="preserve">I.6 BibTeX</w:t>
      </w:r>
    </w:p>
    <w:p>
      <w:pPr>
        <w:pStyle w:val="SourceCode"/>
      </w:pPr>
      <w:r>
        <w:rPr>
          <w:rStyle w:val="VerbatimChar"/>
        </w:rPr>
        <w:t xml:space="preserve">@techreport{mendhe2026tip,</w:t>
      </w:r>
      <w:r>
        <w:br/>
      </w:r>
      <w:r>
        <w:rPr>
          <w:rStyle w:val="VerbatimChar"/>
        </w:rPr>
        <w:t xml:space="preserve">  author       = {Mendhe, Dinesh},</w:t>
      </w:r>
      <w:r>
        <w:br/>
      </w:r>
      <w:r>
        <w:rPr>
          <w:rStyle w:val="VerbatimChar"/>
        </w:rPr>
        <w:t xml:space="preserve">  title        = {TIP Protocol Whitepaper, Version 1.0:</w:t>
      </w:r>
      <w:r>
        <w:br/>
      </w:r>
      <w:r>
        <w:rPr>
          <w:rStyle w:val="VerbatimChar"/>
        </w:rPr>
        <w:t xml:space="preserve">                  Trust Identity Protocol for the Verifiable Internet},</w:t>
      </w:r>
      <w:r>
        <w:br/>
      </w:r>
      <w:r>
        <w:rPr>
          <w:rStyle w:val="VerbatimChar"/>
        </w:rPr>
        <w:t xml:space="preserve">  institution  = {The AI Lab Intelligence Unobscured, Inc.},</w:t>
      </w:r>
      <w:r>
        <w:br/>
      </w:r>
      <w:r>
        <w:rPr>
          <w:rStyle w:val="VerbatimChar"/>
        </w:rPr>
        <w:t xml:space="preserve">  address      = {Wilmington, Delaware},</w:t>
      </w:r>
      <w:r>
        <w:br/>
      </w:r>
      <w:r>
        <w:rPr>
          <w:rStyle w:val="VerbatimChar"/>
        </w:rPr>
        <w:t xml:space="preserve">  year         = {2026},</w:t>
      </w:r>
      <w:r>
        <w:br/>
      </w:r>
      <w:r>
        <w:rPr>
          <w:rStyle w:val="VerbatimChar"/>
        </w:rPr>
        <w:t xml:space="preserve">  type         = {Technical Report},</w:t>
      </w:r>
      <w:r>
        <w:br/>
      </w:r>
      <w:r>
        <w:rPr>
          <w:rStyle w:val="VerbatimChar"/>
        </w:rPr>
        <w:t xml:space="preserve">  note         = {USCO Application No.\ 1-15175755931},</w:t>
      </w:r>
      <w:r>
        <w:br/>
      </w:r>
      <w:r>
        <w:rPr>
          <w:rStyle w:val="VerbatimChar"/>
        </w:rPr>
        <w:t xml:space="preserve">  url          = {https://theailab.org/whitepaper}</w:t>
      </w:r>
      <w:r>
        <w:br/>
      </w:r>
      <w:r>
        <w:rPr>
          <w:rStyle w:val="VerbatimChar"/>
        </w:rPr>
        <w:t xml:space="preserve">}</w:t>
      </w:r>
    </w:p>
    <w:bookmarkEnd w:id="336"/>
    <w:bookmarkStart w:id="337" w:name="X564b2a8b74e55c55d808f7bc196adade7b6f92c"/>
    <w:p>
      <w:pPr>
        <w:pStyle w:val="Heading2"/>
      </w:pPr>
      <w:r>
        <w:t xml:space="preserve">I.7 Citation of specific Parts and Sections</w:t>
      </w:r>
    </w:p>
    <w:p>
      <w:pPr>
        <w:pStyle w:val="FirstParagraph"/>
      </w:pPr>
      <w:r>
        <w:t xml:space="preserve">When citing a specific Part or Section of this whitepaper, the</w:t>
      </w:r>
      <w:r>
        <w:t xml:space="preserve"> </w:t>
      </w:r>
      <w:r>
        <w:t xml:space="preserve">citation should identify the whitepaper version (v1.0), the Part number</w:t>
      </w:r>
      <w:r>
        <w:t xml:space="preserve"> </w:t>
      </w:r>
      <w:r>
        <w:t xml:space="preserve">(Roman numeral), the Section number (Arabic numeral with decimal</w:t>
      </w:r>
      <w:r>
        <w:t xml:space="preserve"> </w:t>
      </w:r>
      <w:r>
        <w:t xml:space="preserve">subdivisions where applicable), and the publication date. Example:</w:t>
      </w:r>
      <w:r>
        <w:t xml:space="preserve"> </w:t>
      </w:r>
      <w:r>
        <w:t xml:space="preserve">Mendhe (2026),</w:t>
      </w:r>
      <w:r>
        <w:t xml:space="preserve"> </w:t>
      </w:r>
      <w:r>
        <w:rPr>
          <w:i/>
          <w:iCs/>
        </w:rPr>
        <w:t xml:space="preserve">TIP Protocol Whitepaper v1.0</w:t>
      </w:r>
      <w:r>
        <w:t xml:space="preserve">, Part X Section</w:t>
      </w:r>
      <w:r>
        <w:t xml:space="preserve"> </w:t>
      </w:r>
      <w:r>
        <w:t xml:space="preserve">10.8 (June 2, 2026).</w:t>
      </w:r>
    </w:p>
    <w:bookmarkEnd w:id="337"/>
    <w:bookmarkStart w:id="338" w:name="X54aff8bbd50a2a86bb854aec7f4f2596f9165da"/>
    <w:p>
      <w:pPr>
        <w:pStyle w:val="Heading2"/>
      </w:pPr>
      <w:r>
        <w:t xml:space="preserve">I.8 Citation of the canonical Specification</w:t>
      </w:r>
    </w:p>
    <w:p>
      <w:pPr>
        <w:pStyle w:val="FirstParagraph"/>
      </w:pPr>
      <w:r>
        <w:t xml:space="preserve">The canonical TIP Protocol Specification is cited separately from</w:t>
      </w:r>
      <w:r>
        <w:t xml:space="preserve"> </w:t>
      </w:r>
      <w:r>
        <w:t xml:space="preserve">this whitepaper. The suggested citation for the canonical Specification</w:t>
      </w:r>
      <w:r>
        <w:t xml:space="preserve"> </w:t>
      </w:r>
      <w:r>
        <w:t xml:space="preserve">is:</w:t>
      </w:r>
    </w:p>
    <w:p>
      <w:pPr>
        <w:pStyle w:val="BodyText"/>
      </w:pPr>
      <w:r>
        <w:t xml:space="preserve">The AI Lab Intelligence Unobscured, Inc. (2026).</w:t>
      </w:r>
      <w:r>
        <w:t xml:space="preserve"> </w:t>
      </w:r>
      <w:r>
        <w:rPr>
          <w:i/>
          <w:iCs/>
        </w:rPr>
        <w:t xml:space="preserve">TIP Protocol</w:t>
      </w:r>
      <w:r>
        <w:rPr>
          <w:i/>
          <w:iCs/>
        </w:rPr>
        <w:t xml:space="preserve"> </w:t>
      </w:r>
      <w:r>
        <w:rPr>
          <w:i/>
          <w:iCs/>
        </w:rPr>
        <w:t xml:space="preserve">Specification, Version 5.0</w:t>
      </w:r>
      <w:r>
        <w:t xml:space="preserve">. Wilmington, Delaware. United States</w:t>
      </w:r>
      <w:r>
        <w:t xml:space="preserve"> </w:t>
      </w:r>
      <w:r>
        <w:t xml:space="preserve">Copyright Office Application No. 1-15175755931, derivative of</w:t>
      </w:r>
      <w:r>
        <w:t xml:space="preserve"> </w:t>
      </w:r>
      <w:r>
        <w:t xml:space="preserve">Application No. 1-15116205291, both pending. Available at</w:t>
      </w:r>
      <w:r>
        <w:t xml:space="preserve"> </w:t>
      </w:r>
      <w:r>
        <w:t xml:space="preserve">https://github.com/theailaborg/tip-protocol/blob/main/spec/TIP_Protocol_Specification_v5_0.md,</w:t>
      </w:r>
      <w:r>
        <w:t xml:space="preserve"> </w:t>
      </w:r>
      <w:r>
        <w:t xml:space="preserve">licensed under CC BY 4.0.</w:t>
      </w:r>
    </w:p>
    <w:bookmarkEnd w:id="338"/>
    <w:bookmarkEnd w:id="339"/>
    <w:bookmarkStart w:id="352" w:name="appendix-j-notice-and-disclaimer"/>
    <w:p>
      <w:pPr>
        <w:pStyle w:val="Heading1"/>
      </w:pPr>
      <w:r>
        <w:t xml:space="preserve">Appendix J: Notice and Disclaimer</w:t>
      </w:r>
    </w:p>
    <w:p>
      <w:pPr>
        <w:pStyle w:val="FirstParagraph"/>
      </w:pPr>
      <w:r>
        <w:t xml:space="preserve">This Appendix sets out the legal notices, disclaimers, and</w:t>
      </w:r>
      <w:r>
        <w:t xml:space="preserve"> </w:t>
      </w:r>
      <w:r>
        <w:t xml:space="preserve">forward-looking statements safe harbor applicable to this whitepaper.</w:t>
      </w:r>
      <w:r>
        <w:t xml:space="preserve"> </w:t>
      </w:r>
      <w:r>
        <w:t xml:space="preserve">The provisions of this Appendix apply to the entirety of the whitepaper,</w:t>
      </w:r>
      <w:r>
        <w:t xml:space="preserve"> </w:t>
      </w:r>
      <w:r>
        <w:t xml:space="preserve">including the Foreword, the Executive Summary, the substantive Parts,</w:t>
      </w:r>
      <w:r>
        <w:t xml:space="preserve"> </w:t>
      </w:r>
      <w:r>
        <w:t xml:space="preserve">the other Appendices, and any accompanying media.</w:t>
      </w:r>
    </w:p>
    <w:bookmarkStart w:id="340" w:name="j.1-copyright-notice"/>
    <w:p>
      <w:pPr>
        <w:pStyle w:val="Heading2"/>
      </w:pPr>
      <w:r>
        <w:t xml:space="preserve">J.1 Copyright notice</w:t>
      </w:r>
    </w:p>
    <w:p>
      <w:pPr>
        <w:pStyle w:val="FirstParagraph"/>
      </w:pPr>
      <w:r>
        <w:t xml:space="preserve">© 2026 The AI Lab Intelligence Unobscured, Inc. All rights reserved.</w:t>
      </w:r>
      <w:r>
        <w:t xml:space="preserve"> </w:t>
      </w:r>
      <w:r>
        <w:t xml:space="preserve">This whitepaper is licensed under the Creative Commons Attribution 4.0</w:t>
      </w:r>
      <w:r>
        <w:t xml:space="preserve"> </w:t>
      </w:r>
      <w:r>
        <w:t xml:space="preserve">International Public License (CC BY 4.0), available at</w:t>
      </w:r>
      <w:r>
        <w:t xml:space="preserve"> </w:t>
      </w:r>
      <w:r>
        <w:t xml:space="preserve">creativecommons.org/licenses/by/4.0. The CC BY 4.0 license applies to</w:t>
      </w:r>
      <w:r>
        <w:t xml:space="preserve"> </w:t>
      </w:r>
      <w:r>
        <w:t xml:space="preserve">the text, structure, and figures of this whitepaper, and does not extend</w:t>
      </w:r>
      <w:r>
        <w:t xml:space="preserve"> </w:t>
      </w:r>
      <w:r>
        <w:t xml:space="preserve">to the trademarks of The AI Lab identified in Section J.4 or to the</w:t>
      </w:r>
      <w:r>
        <w:t xml:space="preserve"> </w:t>
      </w:r>
      <w:r>
        <w:t xml:space="preserve">implementations of the Trust Identity Protocol, which are governed by</w:t>
      </w:r>
      <w:r>
        <w:t xml:space="preserve"> </w:t>
      </w:r>
      <w:r>
        <w:t xml:space="preserve">TIPCL-1.0 as described in Part X and Appendix F.</w:t>
      </w:r>
    </w:p>
    <w:p>
      <w:pPr>
        <w:pStyle w:val="BodyText"/>
      </w:pPr>
      <w:r>
        <w:t xml:space="preserve">This whitepaper is the subject of a copyright application filed with</w:t>
      </w:r>
      <w:r>
        <w:t xml:space="preserve"> </w:t>
      </w:r>
      <w:r>
        <w:t xml:space="preserve">the United States Copyright Office referencing prior applications in the</w:t>
      </w:r>
      <w:r>
        <w:t xml:space="preserve"> </w:t>
      </w:r>
      <w:r>
        <w:t xml:space="preserve">same series (United States Copyright Office Case Nos. 1-15175755931 and</w:t>
      </w:r>
      <w:r>
        <w:t xml:space="preserve"> </w:t>
      </w:r>
      <w:r>
        <w:t xml:space="preserve">1-15116205291, both pending). The filing dates of those applications</w:t>
      </w:r>
      <w:r>
        <w:t xml:space="preserve"> </w:t>
      </w:r>
      <w:r>
        <w:t xml:space="preserve">establish priority irrespective of registration outcome.</w:t>
      </w:r>
    </w:p>
    <w:bookmarkEnd w:id="340"/>
    <w:bookmarkStart w:id="341" w:name="j.2-no-warranty"/>
    <w:p>
      <w:pPr>
        <w:pStyle w:val="Heading2"/>
      </w:pPr>
      <w:r>
        <w:t xml:space="preserve">J.2 No warranty</w:t>
      </w:r>
    </w:p>
    <w:p>
      <w:pPr>
        <w:pStyle w:val="FirstParagraph"/>
      </w:pPr>
      <w:r>
        <w:t xml:space="preserve">This whitepaper is provided on an “as is” basis without warranty of</w:t>
      </w:r>
      <w:r>
        <w:t xml:space="preserve"> </w:t>
      </w:r>
      <w:r>
        <w:t xml:space="preserve">any kind, express or implied, including without limitation any warranty</w:t>
      </w:r>
      <w:r>
        <w:t xml:space="preserve"> </w:t>
      </w:r>
      <w:r>
        <w:t xml:space="preserve">of merchantability, fitness for a particular purpose, non-infringement,</w:t>
      </w:r>
      <w:r>
        <w:t xml:space="preserve"> </w:t>
      </w:r>
      <w:r>
        <w:t xml:space="preserve">accuracy, completeness, currency, or quiet enjoyment. The AI Lab does</w:t>
      </w:r>
      <w:r>
        <w:t xml:space="preserve"> </w:t>
      </w:r>
      <w:r>
        <w:t xml:space="preserve">not represent or warrant that the information in this whitepaper is</w:t>
      </w:r>
      <w:r>
        <w:t xml:space="preserve"> </w:t>
      </w:r>
      <w:r>
        <w:t xml:space="preserve">suitable for any purpose, and the reader is responsible for verifying</w:t>
      </w:r>
      <w:r>
        <w:t xml:space="preserve"> </w:t>
      </w:r>
      <w:r>
        <w:t xml:space="preserve">the suitability of the information for the reader’s purposes before</w:t>
      </w:r>
      <w:r>
        <w:t xml:space="preserve"> </w:t>
      </w:r>
      <w:r>
        <w:t xml:space="preserve">acting on it.</w:t>
      </w:r>
    </w:p>
    <w:bookmarkEnd w:id="341"/>
    <w:bookmarkStart w:id="342" w:name="X092e6da804c837e3930eb20356afa8ad57582ca"/>
    <w:p>
      <w:pPr>
        <w:pStyle w:val="Heading2"/>
      </w:pPr>
      <w:r>
        <w:t xml:space="preserve">J.3 No legal advice and no fiduciary relationship</w:t>
      </w:r>
    </w:p>
    <w:p>
      <w:pPr>
        <w:pStyle w:val="FirstParagraph"/>
      </w:pPr>
      <w:r>
        <w:t xml:space="preserve">This whitepaper is a technical and policy reference document. It is</w:t>
      </w:r>
      <w:r>
        <w:t xml:space="preserve"> </w:t>
      </w:r>
      <w:r>
        <w:t xml:space="preserve">not legal advice. It is not investment advice. It is not tax advice. It</w:t>
      </w:r>
      <w:r>
        <w:t xml:space="preserve"> </w:t>
      </w:r>
      <w:r>
        <w:t xml:space="preserve">does not establish an attorney-client relationship, a fiduciary</w:t>
      </w:r>
      <w:r>
        <w:t xml:space="preserve"> </w:t>
      </w:r>
      <w:r>
        <w:t xml:space="preserve">relationship, or any other professional relationship between The AI Lab</w:t>
      </w:r>
      <w:r>
        <w:t xml:space="preserve"> </w:t>
      </w:r>
      <w:r>
        <w:t xml:space="preserve">and the reader. Readers seeking advice on the application of any</w:t>
      </w:r>
      <w:r>
        <w:t xml:space="preserve"> </w:t>
      </w:r>
      <w:r>
        <w:t xml:space="preserve">statute, regulation, or other instrument referenced in this whitepaper</w:t>
      </w:r>
      <w:r>
        <w:t xml:space="preserve"> </w:t>
      </w:r>
      <w:r>
        <w:t xml:space="preserve">should consult qualified counsel in the relevant jurisdiction.</w:t>
      </w:r>
    </w:p>
    <w:bookmarkEnd w:id="342"/>
    <w:bookmarkStart w:id="343" w:name="j.4-trademark-notices"/>
    <w:p>
      <w:pPr>
        <w:pStyle w:val="Heading2"/>
      </w:pPr>
      <w:r>
        <w:t xml:space="preserve">J.4 Trademark notices</w:t>
      </w:r>
    </w:p>
    <w:p>
      <w:pPr>
        <w:pStyle w:val="FirstParagraph"/>
      </w:pPr>
      <w:r>
        <w:t xml:space="preserve">The marks “The AI Lab,” “Trust Identity Protocol,” “TIP,” “Global</w:t>
      </w:r>
      <w:r>
        <w:t xml:space="preserve"> </w:t>
      </w:r>
      <w:r>
        <w:t xml:space="preserve">Seal of Trust,” and “AI Trust Council” are trademarks of The AI Lab</w:t>
      </w:r>
      <w:r>
        <w:t xml:space="preserve"> </w:t>
      </w:r>
      <w:r>
        <w:t xml:space="preserve">Intelligence Unobscured, Inc., with applications pending before the</w:t>
      </w:r>
      <w:r>
        <w:t xml:space="preserve"> </w:t>
      </w:r>
      <w:r>
        <w:t xml:space="preserve">United States Patent and Trademark Office under Serial Nos. 99597929,</w:t>
      </w:r>
      <w:r>
        <w:t xml:space="preserve"> </w:t>
      </w:r>
      <w:r>
        <w:t xml:space="preserve">99603145, 99607461, and 99749088. The marks are used with the ™ symbol</w:t>
      </w:r>
      <w:r>
        <w:t xml:space="preserve"> </w:t>
      </w:r>
      <w:r>
        <w:t xml:space="preserve">on first occurrence in each Part of this whitepaper. The reader is</w:t>
      </w:r>
      <w:r>
        <w:t xml:space="preserve"> </w:t>
      </w:r>
      <w:r>
        <w:t xml:space="preserve">advised that other marks referenced in this whitepaper, including</w:t>
      </w:r>
      <w:r>
        <w:t xml:space="preserve"> </w:t>
      </w:r>
      <w:r>
        <w:t xml:space="preserve">without limitation “NIST,” “FIPS,” “GDPR,” “ISO,” “W3C,” “IETF,” “C2PA,”</w:t>
      </w:r>
      <w:r>
        <w:t xml:space="preserve"> </w:t>
      </w:r>
      <w:r>
        <w:t xml:space="preserve">and other standards and statutory references, are the property of their</w:t>
      </w:r>
      <w:r>
        <w:t xml:space="preserve"> </w:t>
      </w:r>
      <w:r>
        <w:t xml:space="preserve">respective owners and are used here in their nominative, descriptive</w:t>
      </w:r>
      <w:r>
        <w:t xml:space="preserve"> </w:t>
      </w:r>
      <w:r>
        <w:t xml:space="preserve">sense to identify standards, statutes, or organizations.</w:t>
      </w:r>
    </w:p>
    <w:bookmarkEnd w:id="343"/>
    <w:bookmarkStart w:id="344" w:name="j.5-patent-notice"/>
    <w:p>
      <w:pPr>
        <w:pStyle w:val="Heading2"/>
      </w:pPr>
      <w:r>
        <w:t xml:space="preserve">J.5 Patent notice</w:t>
      </w:r>
    </w:p>
    <w:p>
      <w:pPr>
        <w:pStyle w:val="FirstParagraph"/>
      </w:pPr>
      <w:r>
        <w:t xml:space="preserve">The Trust Identity Protocol is the subject of five United States</w:t>
      </w:r>
      <w:r>
        <w:t xml:space="preserve"> </w:t>
      </w:r>
      <w:r>
        <w:t xml:space="preserve">provisional patent applications. Dinesh Mendhe, Founder and Chairman</w:t>
      </w:r>
      <w:r>
        <w:t xml:space="preserve"> </w:t>
      </w:r>
      <w:r>
        <w:t xml:space="preserve">of The AI Lab, is the sole inventor named on each application. The</w:t>
      </w:r>
      <w:r>
        <w:t xml:space="preserve"> </w:t>
      </w:r>
      <w:r>
        <w:t xml:space="preserve">applications are assigned to The AI Lab Intelligence Unobscured, Inc.</w:t>
      </w:r>
      <w:r>
        <w:t xml:space="preserve"> </w:t>
      </w:r>
      <w:r>
        <w:t xml:space="preserve">The applications, organized in Claim Groups A through BB, cover the</w:t>
      </w:r>
      <w:r>
        <w:t xml:space="preserve"> </w:t>
      </w:r>
      <w:r>
        <w:t xml:space="preserve">foundational three-layer protocol architecture, the v2.0 refinements,</w:t>
      </w:r>
      <w:r>
        <w:t xml:space="preserve"> </w:t>
      </w:r>
      <w:r>
        <w:t xml:space="preserve">the content-layer normalization framework, the identity-layer typed</w:t>
      </w:r>
      <w:r>
        <w:t xml:space="preserve"> </w:t>
      </w:r>
      <w:r>
        <w:t xml:space="preserve">taxonomy and multi-officer governance, and the community verification</w:t>
      </w:r>
      <w:r>
        <w:t xml:space="preserve"> </w:t>
      </w:r>
      <w:r>
        <w:t xml:space="preserve">layer with multi-model consensus classification and staking-based</w:t>
      </w:r>
      <w:r>
        <w:t xml:space="preserve"> </w:t>
      </w:r>
      <w:r>
        <w:t xml:space="preserve">trust verification. Corresponding non-provisional applications and</w:t>
      </w:r>
      <w:r>
        <w:t xml:space="preserve"> </w:t>
      </w:r>
      <w:r>
        <w:t xml:space="preserve">foreign filings will</w:t>
      </w:r>
      <w:r>
        <w:t xml:space="preserve"> </w:t>
      </w:r>
      <w:r>
        <w:t xml:space="preserve">be pursued in accordance with the applicable filing deadlines and treaty</w:t>
      </w:r>
      <w:r>
        <w:t xml:space="preserve"> </w:t>
      </w:r>
      <w:r>
        <w:t xml:space="preserve">arrangements. No license to any patent is granted by this whitepaper.</w:t>
      </w:r>
      <w:r>
        <w:t xml:space="preserve"> </w:t>
      </w:r>
      <w:r>
        <w:t xml:space="preserve">Patent licenses are granted exclusively under the terms of TIPCL-1.0</w:t>
      </w:r>
      <w:r>
        <w:t xml:space="preserve"> </w:t>
      </w:r>
      <w:r>
        <w:t xml:space="preserve">Section 8 as described in Part X and Appendix F. Implementation of the</w:t>
      </w:r>
      <w:r>
        <w:t xml:space="preserve"> </w:t>
      </w:r>
      <w:r>
        <w:t xml:space="preserve">Trust Identity Protocol without a TIPCL-1.0 license, or by a person or</w:t>
      </w:r>
      <w:r>
        <w:t xml:space="preserve"> </w:t>
      </w:r>
      <w:r>
        <w:t xml:space="preserve">entity whose TIPCL-1.0 license has terminated, may infringe the patents</w:t>
      </w:r>
      <w:r>
        <w:t xml:space="preserve"> </w:t>
      </w:r>
      <w:r>
        <w:t xml:space="preserve">of The AI Lab.</w:t>
      </w:r>
    </w:p>
    <w:bookmarkEnd w:id="344"/>
    <w:bookmarkStart w:id="345" w:name="Xfa9c263a05a0636e7d6f8f8f0c6b648f38b83d3"/>
    <w:p>
      <w:pPr>
        <w:pStyle w:val="Heading2"/>
      </w:pPr>
      <w:r>
        <w:t xml:space="preserve">J.6 Regulatory references and compliance posture</w:t>
      </w:r>
    </w:p>
    <w:p>
      <w:pPr>
        <w:pStyle w:val="FirstParagraph"/>
      </w:pPr>
      <w:r>
        <w:t xml:space="preserve">References in this whitepaper to statutes, regulations, executive</w:t>
      </w:r>
      <w:r>
        <w:t xml:space="preserve"> </w:t>
      </w:r>
      <w:r>
        <w:t xml:space="preserve">orders, and other instruments of public law, including without</w:t>
      </w:r>
      <w:r>
        <w:t xml:space="preserve"> </w:t>
      </w:r>
      <w:r>
        <w:t xml:space="preserve">limitation Regulation (EU) 2024/1689 (the EU Artificial Intelligence</w:t>
      </w:r>
      <w:r>
        <w:t xml:space="preserve"> </w:t>
      </w:r>
      <w:r>
        <w:t xml:space="preserve">Act), Regulation (EU) 2016/679 (the General Data Protection Regulation),</w:t>
      </w:r>
      <w:r>
        <w:t xml:space="preserve"> </w:t>
      </w:r>
      <w:r>
        <w:t xml:space="preserve">Regulation (EU) 2022/2065 (the Digital Services Act), Regulation (EU)</w:t>
      </w:r>
      <w:r>
        <w:t xml:space="preserve"> </w:t>
      </w:r>
      <w:r>
        <w:t xml:space="preserve">910/2014 as amended (eIDAS 2.0), the Federal Trade Commission Act, the</w:t>
      </w:r>
      <w:r>
        <w:t xml:space="preserve"> </w:t>
      </w:r>
      <w:r>
        <w:t xml:space="preserve">NIST AI Risk Management Framework, Executive Order 14110, the Online</w:t>
      </w:r>
      <w:r>
        <w:t xml:space="preserve"> </w:t>
      </w:r>
      <w:r>
        <w:t xml:space="preserve">Safety Act 2023 (United Kingdom), the Privacy Act 2020 (New Zealand),</w:t>
      </w:r>
      <w:r>
        <w:t xml:space="preserve"> </w:t>
      </w:r>
      <w:r>
        <w:t xml:space="preserve">and the Digital Personal Data Protection Act 2023 (India), are provided</w:t>
      </w:r>
      <w:r>
        <w:t xml:space="preserve"> </w:t>
      </w:r>
      <w:r>
        <w:t xml:space="preserve">for the convenience of the reader and to identify the regulatory</w:t>
      </w:r>
      <w:r>
        <w:t xml:space="preserve"> </w:t>
      </w:r>
      <w:r>
        <w:t xml:space="preserve">landscape within which the Trust Identity Protocol is designed to</w:t>
      </w:r>
      <w:r>
        <w:t xml:space="preserve"> </w:t>
      </w:r>
      <w:r>
        <w:t xml:space="preserve">operate.</w:t>
      </w:r>
    </w:p>
    <w:p>
      <w:pPr>
        <w:pStyle w:val="BodyText"/>
      </w:pPr>
      <w:r>
        <w:t xml:space="preserve">Statements in this whitepaper that the protocol or its</w:t>
      </w:r>
      <w:r>
        <w:t xml:space="preserve"> </w:t>
      </w:r>
      <w:r>
        <w:t xml:space="preserve">implementations are aligned with, conformable to, or designed to support</w:t>
      </w:r>
      <w:r>
        <w:t xml:space="preserve"> </w:t>
      </w:r>
      <w:r>
        <w:t xml:space="preserve">compliance with any such instrument are statements of design intent and</w:t>
      </w:r>
      <w:r>
        <w:t xml:space="preserve"> </w:t>
      </w:r>
      <w:r>
        <w:t xml:space="preserve">of the technical controls implemented in the canonical specification.</w:t>
      </w:r>
      <w:r>
        <w:t xml:space="preserve"> </w:t>
      </w:r>
      <w:r>
        <w:t xml:space="preserve">Such statements are not (a) certifications of compliance, (b) opinions</w:t>
      </w:r>
      <w:r>
        <w:t xml:space="preserve"> </w:t>
      </w:r>
      <w:r>
        <w:t xml:space="preserve">of counsel, (c) attestations by a regulator or supervisory authority, or</w:t>
      </w:r>
      <w:r>
        <w:t xml:space="preserve"> </w:t>
      </w:r>
      <w:r>
        <w:t xml:space="preserve">(d) representations that any specific implementation of the protocol by</w:t>
      </w:r>
      <w:r>
        <w:t xml:space="preserve"> </w:t>
      </w:r>
      <w:r>
        <w:t xml:space="preserve">any specific licensee will satisfy the licensee’s compliance</w:t>
      </w:r>
      <w:r>
        <w:t xml:space="preserve"> </w:t>
      </w:r>
      <w:r>
        <w:t xml:space="preserve">obligations. A licensee is responsible for assessing the application of</w:t>
      </w:r>
      <w:r>
        <w:t xml:space="preserve"> </w:t>
      </w:r>
      <w:r>
        <w:t xml:space="preserve">any such instrument to the licensee’s particular use of the protocol and</w:t>
      </w:r>
      <w:r>
        <w:t xml:space="preserve"> </w:t>
      </w:r>
      <w:r>
        <w:t xml:space="preserve">for obtaining qualified legal advice.</w:t>
      </w:r>
    </w:p>
    <w:bookmarkEnd w:id="345"/>
    <w:bookmarkStart w:id="346" w:name="X255e10b914db0ac82a93014b6bed6e273792c85"/>
    <w:p>
      <w:pPr>
        <w:pStyle w:val="Heading2"/>
      </w:pPr>
      <w:r>
        <w:t xml:space="preserve">J.7 Forward-looking statements safe harbor</w:t>
      </w:r>
    </w:p>
    <w:p>
      <w:pPr>
        <w:pStyle w:val="FirstParagraph"/>
      </w:pPr>
      <w:r>
        <w:t xml:space="preserve">This whitepaper contains forward-looking statements within the</w:t>
      </w:r>
      <w:r>
        <w:t xml:space="preserve"> </w:t>
      </w:r>
      <w:r>
        <w:t xml:space="preserve">customary meaning of that term. Forward-looking statements include</w:t>
      </w:r>
      <w:r>
        <w:t xml:space="preserve"> </w:t>
      </w:r>
      <w:r>
        <w:t xml:space="preserve">without limitation statements concerning (a) operational milestones, (b)</w:t>
      </w:r>
      <w:r>
        <w:t xml:space="preserve"> </w:t>
      </w:r>
      <w:r>
        <w:t xml:space="preserve">the activation of the AI Trust Council, (c) the formation of standards</w:t>
      </w:r>
      <w:r>
        <w:t xml:space="preserve"> </w:t>
      </w:r>
      <w:r>
        <w:t xml:space="preserve">organization workstreams, (d) the conversion of the licensing regime</w:t>
      </w:r>
      <w:r>
        <w:t xml:space="preserve"> </w:t>
      </w:r>
      <w:r>
        <w:t xml:space="preserve">under TIPCL-1.0 Section 12, (e) the expansion of the Federated Network,</w:t>
      </w:r>
      <w:r>
        <w:t xml:space="preserve"> </w:t>
      </w:r>
      <w:r>
        <w:t xml:space="preserve">(f) the introduction of new technical features, and (g) the response of</w:t>
      </w:r>
      <w:r>
        <w:t xml:space="preserve"> </w:t>
      </w:r>
      <w:r>
        <w:t xml:space="preserve">regulators, publishers, and other third parties to the Trust Identity</w:t>
      </w:r>
      <w:r>
        <w:t xml:space="preserve"> </w:t>
      </w:r>
      <w:r>
        <w:t xml:space="preserve">Protocol.</w:t>
      </w:r>
    </w:p>
    <w:p>
      <w:pPr>
        <w:pStyle w:val="BodyText"/>
      </w:pPr>
      <w:r>
        <w:t xml:space="preserve">Forward-looking statements are based on the present expectations of</w:t>
      </w:r>
      <w:r>
        <w:t xml:space="preserve"> </w:t>
      </w:r>
      <w:r>
        <w:t xml:space="preserve">The AI Lab and are subject to risks and uncertainties, many of which are</w:t>
      </w:r>
      <w:r>
        <w:t xml:space="preserve"> </w:t>
      </w:r>
      <w:r>
        <w:t xml:space="preserve">outside the control of The AI Lab. Actual results may differ materially</w:t>
      </w:r>
      <w:r>
        <w:t xml:space="preserve"> </w:t>
      </w:r>
      <w:r>
        <w:t xml:space="preserve">from those projected. Material risks include without limitation:</w:t>
      </w:r>
    </w:p>
    <w:p>
      <w:pPr>
        <w:pStyle w:val="Compact"/>
        <w:numPr>
          <w:ilvl w:val="0"/>
          <w:numId w:val="1033"/>
        </w:numPr>
      </w:pPr>
      <w:r>
        <w:t xml:space="preserve">Changes in applicable law, regulation, or executive policy in any</w:t>
      </w:r>
      <w:r>
        <w:t xml:space="preserve"> </w:t>
      </w:r>
      <w:r>
        <w:t xml:space="preserve">jurisdiction in which the protocol operates.</w:t>
      </w:r>
    </w:p>
    <w:p>
      <w:pPr>
        <w:pStyle w:val="Compact"/>
        <w:numPr>
          <w:ilvl w:val="0"/>
          <w:numId w:val="1033"/>
        </w:numPr>
      </w:pPr>
      <w:r>
        <w:t xml:space="preserve">Failure of one or more Founding Node Operators or Verification</w:t>
      </w:r>
      <w:r>
        <w:t xml:space="preserve"> </w:t>
      </w:r>
      <w:r>
        <w:t xml:space="preserve">Providers to perform under their agreements with The AI Lab.</w:t>
      </w:r>
    </w:p>
    <w:p>
      <w:pPr>
        <w:pStyle w:val="Compact"/>
        <w:numPr>
          <w:ilvl w:val="0"/>
          <w:numId w:val="1033"/>
        </w:numPr>
      </w:pPr>
      <w:r>
        <w:t xml:space="preserve">Adverse outcomes in pending or future patent, trademark, or</w:t>
      </w:r>
      <w:r>
        <w:t xml:space="preserve"> </w:t>
      </w:r>
      <w:r>
        <w:t xml:space="preserve">copyright proceedings before the United States Patent and Trademark</w:t>
      </w:r>
      <w:r>
        <w:t xml:space="preserve"> </w:t>
      </w:r>
      <w:r>
        <w:t xml:space="preserve">Office, the United States Copyright Office, or analogous foreign</w:t>
      </w:r>
      <w:r>
        <w:t xml:space="preserve"> </w:t>
      </w:r>
      <w:r>
        <w:t xml:space="preserve">authorities.</w:t>
      </w:r>
    </w:p>
    <w:p>
      <w:pPr>
        <w:pStyle w:val="Compact"/>
        <w:numPr>
          <w:ilvl w:val="0"/>
          <w:numId w:val="1033"/>
        </w:numPr>
      </w:pPr>
      <w:r>
        <w:t xml:space="preserve">Adverse outcomes in pending or future civil or regulatory</w:t>
      </w:r>
      <w:r>
        <w:t xml:space="preserve"> </w:t>
      </w:r>
      <w:r>
        <w:t xml:space="preserve">proceedings.</w:t>
      </w:r>
    </w:p>
    <w:p>
      <w:pPr>
        <w:pStyle w:val="Compact"/>
        <w:numPr>
          <w:ilvl w:val="0"/>
          <w:numId w:val="1033"/>
        </w:numPr>
      </w:pPr>
      <w:r>
        <w:t xml:space="preserve">Cryptographic developments that materially affect the security</w:t>
      </w:r>
      <w:r>
        <w:t xml:space="preserve"> </w:t>
      </w:r>
      <w:r>
        <w:t xml:space="preserve">assumptions of the post-quantum primitives identified in Part III.</w:t>
      </w:r>
    </w:p>
    <w:p>
      <w:pPr>
        <w:pStyle w:val="Compact"/>
        <w:numPr>
          <w:ilvl w:val="0"/>
          <w:numId w:val="1033"/>
        </w:numPr>
      </w:pPr>
      <w:r>
        <w:t xml:space="preserve">Materialization of an adversarial attack model that the protocol</w:t>
      </w:r>
      <w:r>
        <w:t xml:space="preserve"> </w:t>
      </w:r>
      <w:r>
        <w:t xml:space="preserve">does not, as designed, mitigate.</w:t>
      </w:r>
    </w:p>
    <w:p>
      <w:pPr>
        <w:pStyle w:val="Compact"/>
        <w:numPr>
          <w:ilvl w:val="0"/>
          <w:numId w:val="1033"/>
        </w:numPr>
      </w:pPr>
      <w:r>
        <w:t xml:space="preserve">Failure of the standards organization engagement described in</w:t>
      </w:r>
      <w:r>
        <w:t xml:space="preserve"> </w:t>
      </w:r>
      <w:r>
        <w:t xml:space="preserve">Section 9.7 to converge on a published international standard.</w:t>
      </w:r>
    </w:p>
    <w:p>
      <w:pPr>
        <w:pStyle w:val="Compact"/>
        <w:numPr>
          <w:ilvl w:val="0"/>
          <w:numId w:val="1033"/>
        </w:numPr>
      </w:pPr>
      <w:r>
        <w:t xml:space="preserve">Reduction in market interest in content provenance and verifiable</w:t>
      </w:r>
      <w:r>
        <w:t xml:space="preserve"> </w:t>
      </w:r>
      <w:r>
        <w:t xml:space="preserve">identity.</w:t>
      </w:r>
    </w:p>
    <w:p>
      <w:pPr>
        <w:pStyle w:val="FirstParagraph"/>
      </w:pPr>
      <w:r>
        <w:t xml:space="preserve">The AI Lab undertakes no obligation to update or revise any</w:t>
      </w:r>
      <w:r>
        <w:t xml:space="preserve"> </w:t>
      </w:r>
      <w:r>
        <w:t xml:space="preserve">forward-looking statement, whether as a result of new information,</w:t>
      </w:r>
      <w:r>
        <w:t xml:space="preserve"> </w:t>
      </w:r>
      <w:r>
        <w:t xml:space="preserve">future events, or otherwise, except as may be required by applicable</w:t>
      </w:r>
      <w:r>
        <w:t xml:space="preserve"> </w:t>
      </w:r>
      <w:r>
        <w:t xml:space="preserve">law.</w:t>
      </w:r>
    </w:p>
    <w:bookmarkEnd w:id="346"/>
    <w:bookmarkStart w:id="347" w:name="j.8-no-reliance-and-no-offer"/>
    <w:p>
      <w:pPr>
        <w:pStyle w:val="Heading2"/>
      </w:pPr>
      <w:r>
        <w:t xml:space="preserve">J.8 No reliance and no offer</w:t>
      </w:r>
    </w:p>
    <w:p>
      <w:pPr>
        <w:pStyle w:val="FirstParagraph"/>
      </w:pPr>
      <w:r>
        <w:t xml:space="preserve">No person is entitled to rely on this whitepaper as a basis for</w:t>
      </w:r>
      <w:r>
        <w:t xml:space="preserve"> </w:t>
      </w:r>
      <w:r>
        <w:t xml:space="preserve">entering into a commercial relationship with The AI Lab or with any</w:t>
      </w:r>
      <w:r>
        <w:t xml:space="preserve"> </w:t>
      </w:r>
      <w:r>
        <w:t xml:space="preserve">Founding Node Operator, Verification Provider, or licensee, except</w:t>
      </w:r>
      <w:r>
        <w:t xml:space="preserve"> </w:t>
      </w:r>
      <w:r>
        <w:t xml:space="preserve">pursuant to a written agreement signed by an authorized officer of the</w:t>
      </w:r>
      <w:r>
        <w:t xml:space="preserve"> </w:t>
      </w:r>
      <w:r>
        <w:t xml:space="preserve">counterparty. This whitepaper is not an offer to sell, a solicitation to</w:t>
      </w:r>
      <w:r>
        <w:t xml:space="preserve"> </w:t>
      </w:r>
      <w:r>
        <w:t xml:space="preserve">buy, or a recommendation to invest in any security of The AI Lab or of</w:t>
      </w:r>
      <w:r>
        <w:t xml:space="preserve"> </w:t>
      </w:r>
      <w:r>
        <w:t xml:space="preserve">any other person. Any commercial relationship with The AI Lab is</w:t>
      </w:r>
      <w:r>
        <w:t xml:space="preserve"> </w:t>
      </w:r>
      <w:r>
        <w:t xml:space="preserve">governed exclusively by the written agreement entered into between the</w:t>
      </w:r>
      <w:r>
        <w:t xml:space="preserve"> </w:t>
      </w:r>
      <w:r>
        <w:t xml:space="preserve">parties.</w:t>
      </w:r>
    </w:p>
    <w:bookmarkEnd w:id="347"/>
    <w:bookmarkStart w:id="348" w:name="j.9-limitation-of-liability"/>
    <w:p>
      <w:pPr>
        <w:pStyle w:val="Heading2"/>
      </w:pPr>
      <w:r>
        <w:t xml:space="preserve">J.9 Limitation of liability</w:t>
      </w:r>
    </w:p>
    <w:p>
      <w:pPr>
        <w:pStyle w:val="FirstParagraph"/>
      </w:pPr>
      <w:r>
        <w:t xml:space="preserve">To the maximum extent permitted by applicable law, in no event shall</w:t>
      </w:r>
      <w:r>
        <w:t xml:space="preserve"> </w:t>
      </w:r>
      <w:r>
        <w:t xml:space="preserve">The AI Lab, its directors, officers, employees, advisors, or agents be</w:t>
      </w:r>
      <w:r>
        <w:t xml:space="preserve"> </w:t>
      </w:r>
      <w:r>
        <w:t xml:space="preserve">liable to the reader or to any third party for any indirect, incidental,</w:t>
      </w:r>
      <w:r>
        <w:t xml:space="preserve"> </w:t>
      </w:r>
      <w:r>
        <w:t xml:space="preserve">consequential, special, exemplary, or punitive damages arising out of or</w:t>
      </w:r>
      <w:r>
        <w:t xml:space="preserve"> </w:t>
      </w:r>
      <w:r>
        <w:t xml:space="preserve">in connection with the reader’s use of this whitepaper, even if The AI</w:t>
      </w:r>
      <w:r>
        <w:t xml:space="preserve"> </w:t>
      </w:r>
      <w:r>
        <w:t xml:space="preserve">Lab has been advised of the possibility of such damages. The aggregate</w:t>
      </w:r>
      <w:r>
        <w:t xml:space="preserve"> </w:t>
      </w:r>
      <w:r>
        <w:t xml:space="preserve">liability of The AI Lab arising out of or in connection with this</w:t>
      </w:r>
      <w:r>
        <w:t xml:space="preserve"> </w:t>
      </w:r>
      <w:r>
        <w:t xml:space="preserve">whitepaper shall not exceed one hundred United States dollars (US$100).</w:t>
      </w:r>
      <w:r>
        <w:t xml:space="preserve"> </w:t>
      </w:r>
      <w:r>
        <w:t xml:space="preserve">This limitation applies notwithstanding the failure of essential purpose</w:t>
      </w:r>
      <w:r>
        <w:t xml:space="preserve"> </w:t>
      </w:r>
      <w:r>
        <w:t xml:space="preserve">of any limited remedy.</w:t>
      </w:r>
    </w:p>
    <w:bookmarkEnd w:id="348"/>
    <w:bookmarkStart w:id="349" w:name="X8a672a6b62868d411e09229c0f0ce8d56f97299"/>
    <w:p>
      <w:pPr>
        <w:pStyle w:val="Heading2"/>
      </w:pPr>
      <w:r>
        <w:t xml:space="preserve">J.10 Governing law and dispute resolution</w:t>
      </w:r>
    </w:p>
    <w:p>
      <w:pPr>
        <w:pStyle w:val="FirstParagraph"/>
      </w:pPr>
      <w:r>
        <w:t xml:space="preserve">This Appendix and any non-contractual obligations arising out of or</w:t>
      </w:r>
      <w:r>
        <w:t xml:space="preserve"> </w:t>
      </w:r>
      <w:r>
        <w:t xml:space="preserve">in connection with it are governed by the law of the State of Delaware,</w:t>
      </w:r>
      <w:r>
        <w:t xml:space="preserve"> </w:t>
      </w:r>
      <w:r>
        <w:t xml:space="preserve">without regard to its conflict of laws principles. Any dispute,</w:t>
      </w:r>
      <w:r>
        <w:t xml:space="preserve"> </w:t>
      </w:r>
      <w:r>
        <w:t xml:space="preserve">controversy, or claim arising out of or relating to this Appendix,</w:t>
      </w:r>
      <w:r>
        <w:t xml:space="preserve"> </w:t>
      </w:r>
      <w:r>
        <w:t xml:space="preserve">including any question regarding its existence, validity, or</w:t>
      </w:r>
      <w:r>
        <w:t xml:space="preserve"> </w:t>
      </w:r>
      <w:r>
        <w:t xml:space="preserve">termination, shall be referred to and finally resolved by binding</w:t>
      </w:r>
      <w:r>
        <w:t xml:space="preserve"> </w:t>
      </w:r>
      <w:r>
        <w:t xml:space="preserve">arbitration administered by the American Arbitration Association under</w:t>
      </w:r>
      <w:r>
        <w:t xml:space="preserve"> </w:t>
      </w:r>
      <w:r>
        <w:t xml:space="preserve">its Commercial Arbitration Rules, seated in Wilmington, Delaware. The</w:t>
      </w:r>
      <w:r>
        <w:t xml:space="preserve"> </w:t>
      </w:r>
      <w:r>
        <w:t xml:space="preserve">arbitral tribunal shall consist of one arbitrator unless the amount in</w:t>
      </w:r>
      <w:r>
        <w:t xml:space="preserve"> </w:t>
      </w:r>
      <w:r>
        <w:t xml:space="preserve">dispute exceeds US$1,000,000, in which case the tribunal shall consist</w:t>
      </w:r>
      <w:r>
        <w:t xml:space="preserve"> </w:t>
      </w:r>
      <w:r>
        <w:t xml:space="preserve">of three arbitrators. The language of the arbitration shall be</w:t>
      </w:r>
      <w:r>
        <w:t xml:space="preserve"> </w:t>
      </w:r>
      <w:r>
        <w:t xml:space="preserve">English.</w:t>
      </w:r>
    </w:p>
    <w:bookmarkEnd w:id="349"/>
    <w:bookmarkStart w:id="350" w:name="j.11-severability"/>
    <w:p>
      <w:pPr>
        <w:pStyle w:val="Heading2"/>
      </w:pPr>
      <w:r>
        <w:t xml:space="preserve">J.11 Severability</w:t>
      </w:r>
    </w:p>
    <w:p>
      <w:pPr>
        <w:pStyle w:val="FirstParagraph"/>
      </w:pPr>
      <w:r>
        <w:t xml:space="preserve">If any provision of this Appendix is held to be invalid, illegal, or</w:t>
      </w:r>
      <w:r>
        <w:t xml:space="preserve"> </w:t>
      </w:r>
      <w:r>
        <w:t xml:space="preserve">unenforceable by a court or tribunal of competent jurisdiction, such</w:t>
      </w:r>
      <w:r>
        <w:t xml:space="preserve"> </w:t>
      </w:r>
      <w:r>
        <w:t xml:space="preserve">provision shall be severed and the remaining provisions shall continue</w:t>
      </w:r>
      <w:r>
        <w:t xml:space="preserve"> </w:t>
      </w:r>
      <w:r>
        <w:t xml:space="preserve">in full force and effect.</w:t>
      </w:r>
    </w:p>
    <w:bookmarkEnd w:id="350"/>
    <w:bookmarkStart w:id="351" w:name="j.12-entire-understanding"/>
    <w:p>
      <w:pPr>
        <w:pStyle w:val="Heading2"/>
      </w:pPr>
      <w:r>
        <w:t xml:space="preserve">J.12 Entire understanding</w:t>
      </w:r>
    </w:p>
    <w:p>
      <w:pPr>
        <w:pStyle w:val="FirstParagraph"/>
      </w:pPr>
      <w:r>
        <w:t xml:space="preserve">This Appendix, together with TIPCL-1.0 and any written agreement</w:t>
      </w:r>
      <w:r>
        <w:t xml:space="preserve"> </w:t>
      </w:r>
      <w:r>
        <w:t xml:space="preserve">signed between The AI Lab and the reader, constitutes the entire</w:t>
      </w:r>
      <w:r>
        <w:t xml:space="preserve"> </w:t>
      </w:r>
      <w:r>
        <w:t xml:space="preserve">understanding between The AI Lab and the reader concerning the subject</w:t>
      </w:r>
      <w:r>
        <w:t xml:space="preserve"> </w:t>
      </w:r>
      <w:r>
        <w:t xml:space="preserve">matter of this whitepaper, and supersedes all prior or contemporaneous</w:t>
      </w:r>
      <w:r>
        <w:t xml:space="preserve"> </w:t>
      </w:r>
      <w:r>
        <w:t xml:space="preserve">oral or written communications, proposals, and representations.</w:t>
      </w:r>
    </w:p>
    <w:p>
      <w:r>
        <w:pict>
          <v:rect style="width:0;height:1.5pt" o:hralign="center" o:hrstd="t" o:hr="t"/>
        </w:pict>
      </w:r>
    </w:p>
    <w:p>
      <w:pPr>
        <w:pStyle w:val="FirstParagraph"/>
      </w:pPr>
      <w:r>
        <w:rPr>
          <w:b/>
          <w:bCs/>
        </w:rPr>
        <w:t xml:space="preserve">Contact The AI Lab regarding this Appendix</w:t>
      </w:r>
    </w:p>
    <w:p>
      <w:pPr>
        <w:pStyle w:val="BodyText"/>
      </w:pPr>
      <w:r>
        <w:t xml:space="preserve">General Counsel:</w:t>
      </w:r>
      <w:r>
        <w:t xml:space="preserve"> </w:t>
      </w:r>
      <w:r>
        <w:rPr>
          <w:rStyle w:val="VerbatimChar"/>
        </w:rPr>
        <w:t xml:space="preserve">legal@theailab.org</w:t>
      </w:r>
    </w:p>
    <w:p>
      <w:pPr>
        <w:pStyle w:val="BodyText"/>
      </w:pPr>
      <w:r>
        <w:t xml:space="preserve">The AI Lab Intelligence Unobscured, Inc. Wilmington, Delaware, United</w:t>
      </w:r>
      <w:r>
        <w:t xml:space="preserve"> </w:t>
      </w:r>
      <w:r>
        <w:t xml:space="preserve">States.</w:t>
      </w:r>
    </w:p>
    <w:bookmarkEnd w:id="351"/>
    <w:bookmarkEnd w:id="352"/>
    <w:bookmarkStart w:id="357" w:name="appendix-k-document-history"/>
    <w:p>
      <w:pPr>
        <w:pStyle w:val="Heading1"/>
      </w:pPr>
      <w:r>
        <w:t xml:space="preserve">Appendix K: Document History</w:t>
      </w:r>
    </w:p>
    <w:p>
      <w:pPr>
        <w:pStyle w:val="FirstParagraph"/>
      </w:pPr>
      <w:r>
        <w:t xml:space="preserve">This Appendix records the version history of the TIP Protocol</w:t>
      </w:r>
      <w:r>
        <w:t xml:space="preserve"> </w:t>
      </w:r>
      <w:r>
        <w:t xml:space="preserve">Whitepaper.</w:t>
      </w:r>
    </w:p>
    <w:tbl>
      <w:tblPr>
        <w:tblStyle w:val="Table"/>
        <w:tblW w:type="pct" w:w="5000"/>
        <w:tblLayout w:type="fixed"/>
        <w:tblLook w:firstRow="1" w:lastRow="0" w:firstColumn="0" w:lastColumn="0" w:noHBand="0" w:noVBand="0" w:val="0020"/>
      </w:tblPr>
      <w:tblGrid>
        <w:gridCol w:w="176"/>
        <w:gridCol w:w="294"/>
        <w:gridCol w:w="6880"/>
        <w:gridCol w:w="568"/>
      </w:tblGrid>
      <w:tr>
        <w:trPr>
          <w:tblHeader w:val="on"/>
        </w:trPr>
        <w:tc>
          <w:tcPr/>
          <w:p>
            <w:pPr>
              <w:pStyle w:val="Compact"/>
            </w:pPr>
            <w:r>
              <w:t xml:space="preserve">Version</w:t>
            </w:r>
          </w:p>
        </w:tc>
        <w:tc>
          <w:tcPr/>
          <w:p>
            <w:pPr>
              <w:pStyle w:val="Compact"/>
            </w:pPr>
            <w:r>
              <w:t xml:space="preserve">Date</w:t>
            </w:r>
          </w:p>
        </w:tc>
        <w:tc>
          <w:tcPr/>
          <w:p>
            <w:pPr>
              <w:pStyle w:val="Compact"/>
            </w:pPr>
            <w:r>
              <w:t xml:space="preserve">Changes</w:t>
            </w:r>
          </w:p>
        </w:tc>
        <w:tc>
          <w:tcPr/>
          <w:p>
            <w:pPr>
              <w:pStyle w:val="Compact"/>
            </w:pPr>
            <w:r>
              <w:t xml:space="preserve">Ratifying authority</w:t>
            </w:r>
          </w:p>
        </w:tc>
      </w:tr>
      <w:tr>
        <w:tc>
          <w:tcPr/>
          <w:p>
            <w:pPr>
              <w:pStyle w:val="Compact"/>
            </w:pPr>
            <w:r>
              <w:t xml:space="preserve">v1.0</w:t>
            </w:r>
          </w:p>
        </w:tc>
        <w:tc>
          <w:tcPr/>
          <w:p>
            <w:pPr>
              <w:pStyle w:val="Compact"/>
            </w:pPr>
            <w:r>
              <w:t xml:space="preserve">June 2, 2026</w:t>
            </w:r>
          </w:p>
        </w:tc>
        <w:tc>
          <w:tcPr/>
          <w:p>
            <w:pPr>
              <w:pStyle w:val="Compact"/>
            </w:pPr>
            <w:r>
              <w:t xml:space="preserve">Initial publication, written and edited by Dinesh Mendhe, Founder and Chairman of The AI Lab Intelligence Unobscured, Inc., sole inventor of the Trust Identity Protocol. Eleven Parts, twelve Appendices, Foreword by the Founder, Executive Summary.</w:t>
            </w:r>
          </w:p>
        </w:tc>
        <w:tc>
          <w:tcPr/>
          <w:p>
            <w:pPr>
              <w:pStyle w:val="Compact"/>
            </w:pPr>
            <w:r>
              <w:t xml:space="preserve">Sole director of The AI Lab</w:t>
            </w:r>
          </w:p>
        </w:tc>
      </w:tr>
    </w:tbl>
    <w:p>
      <w:pPr>
        <w:pStyle w:val="BodyText"/>
      </w:pPr>
      <w:r>
        <w:t xml:space="preserve">The v1.0 publication locks in: the TIPCL-1.0 nine-tier Commercial</w:t>
      </w:r>
      <w:r>
        <w:t xml:space="preserve"> </w:t>
      </w:r>
      <w:r>
        <w:t xml:space="preserve">Tier Schedule with the canonical US$100,000 free-tier threshold (no</w:t>
      </w:r>
      <w:r>
        <w:t xml:space="preserve"> </w:t>
      </w:r>
      <w:r>
        <w:t xml:space="preserve">US$500,000 ceiling); the AI Trust Council with a Founding Chair, two</w:t>
      </w:r>
      <w:r>
        <w:t xml:space="preserve"> </w:t>
      </w:r>
      <w:r>
        <w:t xml:space="preserve">independent Founding Members, a Founder Seat, an Ex Officio Observer,</w:t>
      </w:r>
      <w:r>
        <w:t xml:space="preserve"> </w:t>
      </w:r>
      <w:r>
        <w:t xml:space="preserve">and Joining Members in accession; identification of seven signed</w:t>
      </w:r>
      <w:r>
        <w:t xml:space="preserve"> </w:t>
      </w:r>
      <w:r>
        <w:t xml:space="preserve">Founding Node Operators and three Founding Node Operators in accession</w:t>
      </w:r>
      <w:r>
        <w:t xml:space="preserve"> </w:t>
      </w:r>
      <w:r>
        <w:t xml:space="preserve">across four jurisdictions; the Genesis Date framework</w:t>
      </w:r>
      <w:r>
        <w:t xml:space="preserve"> </w:t>
      </w:r>
      <w:r>
        <w:t xml:space="preserve">(commencement of live operation on a date in June 2026 published not</w:t>
      </w:r>
      <w:r>
        <w:t xml:space="preserve"> </w:t>
      </w:r>
      <w:r>
        <w:t xml:space="preserve">less than three business days in advance on the satisfaction of the</w:t>
      </w:r>
      <w:r>
        <w:t xml:space="preserve"> </w:t>
      </w:r>
      <w:r>
        <w:t xml:space="preserve">Operational Readiness Conditions); the Pre-Genesis Period commencing</w:t>
      </w:r>
      <w:r>
        <w:t xml:space="preserve"> </w:t>
      </w:r>
      <w:r>
        <w:t xml:space="preserve">June 1, 2026; the EU AI Act classification posture (the protocol is</w:t>
      </w:r>
      <w:r>
        <w:t xml:space="preserve"> </w:t>
      </w:r>
      <w:r>
        <w:t xml:space="preserve">not an AI system under Article 3(1) and is not a social scoring</w:t>
      </w:r>
      <w:r>
        <w:t xml:space="preserve"> </w:t>
      </w:r>
      <w:r>
        <w:t xml:space="preserve">system under Article 5(1)(c)); positioning of the AI Trust Council</w:t>
      </w:r>
      <w:r>
        <w:t xml:space="preserve"> </w:t>
      </w:r>
      <w:r>
        <w:t xml:space="preserve">under Article 95; designation of the EU Authorized Representative as</w:t>
      </w:r>
      <w:r>
        <w:t xml:space="preserve"> </w:t>
      </w:r>
      <w:r>
        <w:t xml:space="preserve">a conditional commitment under Article 22; the nine-step CNA-2.2</w:t>
      </w:r>
      <w:r>
        <w:t xml:space="preserve"> </w:t>
      </w:r>
      <w:r>
        <w:t xml:space="preserve">normalization specification; the four sub-score Trust Score with</w:t>
      </w:r>
      <w:r>
        <w:t xml:space="preserve"> </w:t>
      </w:r>
      <w:r>
        <w:t xml:space="preserve">weights 0.20 / 0.30 / 0.30 / 0.20; six Blocking Items B1 through B6;</w:t>
      </w:r>
      <w:r>
        <w:t xml:space="preserve"> </w:t>
      </w:r>
      <w:r>
        <w:t xml:space="preserve">the bonded jury adjudication procedure; the Article 50(2) and 50(4)</w:t>
      </w:r>
      <w:r>
        <w:t xml:space="preserve"> </w:t>
      </w:r>
      <w:r>
        <w:t xml:space="preserve">compliance infrastructure positioning; and the Apache License 2.0</w:t>
      </w:r>
      <w:r>
        <w:t xml:space="preserve"> </w:t>
      </w:r>
      <w:r>
        <w:t xml:space="preserve">conversion provision on January 1, 2031. The portfolio of five</w:t>
      </w:r>
      <w:r>
        <w:t xml:space="preserve"> </w:t>
      </w:r>
      <w:r>
        <w:t xml:space="preserve">United States provisional patent applications by Dinesh Mendhe</w:t>
      </w:r>
      <w:r>
        <w:t xml:space="preserve"> </w:t>
      </w:r>
      <w:r>
        <w:t xml:space="preserve">(Claim Groups A through BB) is recorded in Section 10.4 and</w:t>
      </w:r>
      <w:r>
        <w:t xml:space="preserve"> </w:t>
      </w:r>
      <w:r>
        <w:t xml:space="preserve">Appendix J.5.</w:t>
      </w:r>
    </w:p>
    <w:bookmarkStart w:id="353" w:name="k.1-cadence-of-subsequent-versions"/>
    <w:p>
      <w:pPr>
        <w:pStyle w:val="Heading2"/>
      </w:pPr>
      <w:r>
        <w:t xml:space="preserve">K.1 Cadence of subsequent versions</w:t>
      </w:r>
    </w:p>
    <w:p>
      <w:pPr>
        <w:pStyle w:val="FirstParagraph"/>
      </w:pPr>
      <w:r>
        <w:t xml:space="preserve">Subsequent versions of the whitepaper are published on the schedule</w:t>
      </w:r>
      <w:r>
        <w:t xml:space="preserve"> </w:t>
      </w:r>
      <w:r>
        <w:t xml:space="preserve">set by the AI Trust Council. The Council’s customary review cadence is</w:t>
      </w:r>
      <w:r>
        <w:t xml:space="preserve"> </w:t>
      </w:r>
      <w:r>
        <w:t xml:space="preserve">annual, with extraordinary revisions on the occurrence of a material</w:t>
      </w:r>
      <w:r>
        <w:t xml:space="preserve"> </w:t>
      </w:r>
      <w:r>
        <w:t xml:space="preserve">change in the regulatory landscape, a material change in the protocol’s</w:t>
      </w:r>
      <w:r>
        <w:t xml:space="preserve"> </w:t>
      </w:r>
      <w:r>
        <w:t xml:space="preserve">technical architecture, or a material change in the institutional</w:t>
      </w:r>
      <w:r>
        <w:t xml:space="preserve"> </w:t>
      </w:r>
      <w:r>
        <w:t xml:space="preserve">posture of The AI Lab or the Council.</w:t>
      </w:r>
    </w:p>
    <w:bookmarkEnd w:id="353"/>
    <w:bookmarkStart w:id="354" w:name="k.2-amendment-procedure"/>
    <w:p>
      <w:pPr>
        <w:pStyle w:val="Heading2"/>
      </w:pPr>
      <w:r>
        <w:t xml:space="preserve">K.2 Amendment procedure</w:t>
      </w:r>
    </w:p>
    <w:p>
      <w:pPr>
        <w:pStyle w:val="FirstParagraph"/>
      </w:pPr>
      <w:r>
        <w:t xml:space="preserve">Substantive amendments to the whitepaper require ratification by the</w:t>
      </w:r>
      <w:r>
        <w:t xml:space="preserve"> </w:t>
      </w:r>
      <w:r>
        <w:t xml:space="preserve">AI Trust Council under the supermajority threshold described in the</w:t>
      </w:r>
      <w:r>
        <w:t xml:space="preserve"> </w:t>
      </w:r>
      <w:r>
        <w:t xml:space="preserve">Charter. Non-substantive amendments (the correction of typographical</w:t>
      </w:r>
      <w:r>
        <w:t xml:space="preserve"> </w:t>
      </w:r>
      <w:r>
        <w:t xml:space="preserve">errors, the updating of dated references to standards-organization</w:t>
      </w:r>
      <w:r>
        <w:t xml:space="preserve"> </w:t>
      </w:r>
      <w:r>
        <w:t xml:space="preserve">positions, the refresh of contact addresses) may be made by The AI Lab</w:t>
      </w:r>
      <w:r>
        <w:t xml:space="preserve"> </w:t>
      </w:r>
      <w:r>
        <w:t xml:space="preserve">on the responsibility of the General Counsel without separate Council</w:t>
      </w:r>
      <w:r>
        <w:t xml:space="preserve"> </w:t>
      </w:r>
      <w:r>
        <w:t xml:space="preserve">ratification. Each published version of the whitepaper carries (a) the</w:t>
      </w:r>
      <w:r>
        <w:t xml:space="preserve"> </w:t>
      </w:r>
      <w:r>
        <w:t xml:space="preserve">version number, (b) the publication date, (c) the ratifying authority,</w:t>
      </w:r>
      <w:r>
        <w:t xml:space="preserve"> </w:t>
      </w:r>
      <w:r>
        <w:t xml:space="preserve">(d) the cryptographic hash of the canonical PDF rendering, and (e) the</w:t>
      </w:r>
      <w:r>
        <w:t xml:space="preserve"> </w:t>
      </w:r>
      <w:r>
        <w:t xml:space="preserve">United States Copyright Office application number associated with the</w:t>
      </w:r>
      <w:r>
        <w:t xml:space="preserve"> </w:t>
      </w:r>
      <w:r>
        <w:t xml:space="preserve">version.</w:t>
      </w:r>
    </w:p>
    <w:bookmarkEnd w:id="354"/>
    <w:bookmarkStart w:id="355" w:name="k.3-withdrawal"/>
    <w:p>
      <w:pPr>
        <w:pStyle w:val="Heading2"/>
      </w:pPr>
      <w:r>
        <w:t xml:space="preserve">K.3 Withdrawal</w:t>
      </w:r>
    </w:p>
    <w:p>
      <w:pPr>
        <w:pStyle w:val="FirstParagraph"/>
      </w:pPr>
      <w:r>
        <w:t xml:space="preserve">A published version of the whitepaper may be withdrawn by</w:t>
      </w:r>
      <w:r>
        <w:t xml:space="preserve"> </w:t>
      </w:r>
      <w:r>
        <w:t xml:space="preserve">ratification of the AI Trust Council on the determination that the</w:t>
      </w:r>
      <w:r>
        <w:t xml:space="preserve"> </w:t>
      </w:r>
      <w:r>
        <w:t xml:space="preserve">version contains an error materially adverse to a relying party.</w:t>
      </w:r>
      <w:r>
        <w:t xml:space="preserve"> </w:t>
      </w:r>
      <w:r>
        <w:t xml:space="preserve">Withdrawal is published with the same prominence as the original</w:t>
      </w:r>
      <w:r>
        <w:t xml:space="preserve"> </w:t>
      </w:r>
      <w:r>
        <w:t xml:space="preserve">publication and identifies the basis for withdrawal. The withdrawal of a</w:t>
      </w:r>
      <w:r>
        <w:t xml:space="preserve"> </w:t>
      </w:r>
      <w:r>
        <w:t xml:space="preserve">version does not affect the operational status of the protocol or the</w:t>
      </w:r>
      <w:r>
        <w:t xml:space="preserve"> </w:t>
      </w:r>
      <w:r>
        <w:t xml:space="preserve">rights of licensees acquired prior to the withdrawal.</w:t>
      </w:r>
    </w:p>
    <w:bookmarkEnd w:id="355"/>
    <w:bookmarkStart w:id="356" w:name="k.4-archival"/>
    <w:p>
      <w:pPr>
        <w:pStyle w:val="Heading2"/>
      </w:pPr>
      <w:r>
        <w:t xml:space="preserve">K.4 Archival</w:t>
      </w:r>
    </w:p>
    <w:p>
      <w:pPr>
        <w:pStyle w:val="FirstParagraph"/>
      </w:pPr>
      <w:r>
        <w:t xml:space="preserve">Each published version of the whitepaper is archived in (a) the</w:t>
      </w:r>
      <w:r>
        <w:t xml:space="preserve"> </w:t>
      </w:r>
      <w:r>
        <w:t xml:space="preserve">Minute Book of The AI Lab Intelligence Unobscured, Inc., (b) the public</w:t>
      </w:r>
      <w:r>
        <w:t xml:space="preserve"> </w:t>
      </w:r>
      <w:r>
        <w:t xml:space="preserve">repository at theailab.org/whitepaper, (c) the United States Copyright</w:t>
      </w:r>
      <w:r>
        <w:t xml:space="preserve"> </w:t>
      </w:r>
      <w:r>
        <w:t xml:space="preserve">Office deposit accompanying the version’s copyright application, and (d)</w:t>
      </w:r>
      <w:r>
        <w:t xml:space="preserve"> </w:t>
      </w:r>
      <w:r>
        <w:t xml:space="preserve">the Internet Archive snapshot captured on the publication date for</w:t>
      </w:r>
      <w:r>
        <w:t xml:space="preserve"> </w:t>
      </w:r>
      <w:r>
        <w:t xml:space="preserve">independent third-party timestamping.</w:t>
      </w:r>
    </w:p>
    <w:bookmarkEnd w:id="356"/>
    <w:bookmarkEnd w:id="357"/>
    <w:bookmarkStart w:id="362" w:name="appendix-l-the-architect-and-author"/>
    <w:p>
      <w:pPr>
        <w:pStyle w:val="Heading1"/>
      </w:pPr>
      <w:r>
        <w:t xml:space="preserve">Appendix L: The Architect and Author</w:t>
      </w:r>
    </w:p>
    <w:p>
      <w:pPr>
        <w:pStyle w:val="FirstParagraph"/>
      </w:pPr>
      <w:r>
        <w:t xml:space="preserve">This Appendix records, for the historical record, the architect and</w:t>
      </w:r>
      <w:r>
        <w:t xml:space="preserve"> </w:t>
      </w:r>
      <w:r>
        <w:t xml:space="preserve">author of the Trust Identity Protocol and of this whitepaper.</w:t>
      </w:r>
    </w:p>
    <w:bookmarkStart w:id="358" w:name="l.1-identification"/>
    <w:p>
      <w:pPr>
        <w:pStyle w:val="Heading2"/>
      </w:pPr>
      <w:r>
        <w:t xml:space="preserve">L.1 Identification</w:t>
      </w:r>
    </w:p>
    <w:p>
      <w:pPr>
        <w:pStyle w:val="FirstParagraph"/>
      </w:pPr>
      <w:r>
        <w:t xml:space="preserve">The architect and author is</w:t>
      </w:r>
      <w:r>
        <w:t xml:space="preserve"> </w:t>
      </w:r>
      <w:r>
        <w:rPr>
          <w:b/>
          <w:bCs/>
        </w:rPr>
        <w:t xml:space="preserve">Dinesh Mendhe</w:t>
      </w:r>
      <w:r>
        <w:t xml:space="preserve">, Founder and Chairman</w:t>
      </w:r>
      <w:r>
        <w:t xml:space="preserve"> </w:t>
      </w:r>
      <w:r>
        <w:t xml:space="preserve">of The AI Lab Intelligence Unobscured, Inc.</w:t>
      </w:r>
    </w:p>
    <w:bookmarkEnd w:id="358"/>
    <w:bookmarkStart w:id="359" w:name="l.2-works-of-authorship-and-invention"/>
    <w:p>
      <w:pPr>
        <w:pStyle w:val="Heading2"/>
      </w:pPr>
      <w:r>
        <w:t xml:space="preserve">L.2 Works of authorship and invention</w:t>
      </w:r>
    </w:p>
    <w:p>
      <w:pPr>
        <w:pStyle w:val="FirstParagraph"/>
      </w:pPr>
      <w:r>
        <w:t xml:space="preserve">Dinesh Mendhe is the creator and founder of the following works,</w:t>
      </w:r>
      <w:r>
        <w:t xml:space="preserve"> </w:t>
      </w:r>
      <w:r>
        <w:t xml:space="preserve">each of which is identified by its canonical name and the year of</w:t>
      </w:r>
      <w:r>
        <w:t xml:space="preserve"> </w:t>
      </w:r>
      <w:r>
        <w:t xml:space="preserve">its creation:</w:t>
      </w:r>
    </w:p>
    <w:p>
      <w:pPr>
        <w:pStyle w:val="Compact"/>
        <w:numPr>
          <w:ilvl w:val="0"/>
          <w:numId w:val="1034"/>
        </w:numPr>
      </w:pPr>
      <w:r>
        <w:t xml:space="preserve">The</w:t>
      </w:r>
      <w:r>
        <w:t xml:space="preserve"> </w:t>
      </w:r>
      <w:r>
        <w:rPr>
          <w:b/>
          <w:bCs/>
        </w:rPr>
        <w:t xml:space="preserve">Trust Identity Protocol</w:t>
      </w:r>
      <w:r>
        <w:t xml:space="preserve"> </w:t>
      </w:r>
      <w:r>
        <w:t xml:space="preserve">(2026): the open, post-quantum</w:t>
      </w:r>
      <w:r>
        <w:t xml:space="preserve"> </w:t>
      </w:r>
      <w:r>
        <w:t xml:space="preserve">cryptographic standard for verifying human identity and AI content</w:t>
      </w:r>
      <w:r>
        <w:t xml:space="preserve"> </w:t>
      </w:r>
      <w:r>
        <w:t xml:space="preserve">provenance on the public internet, comprising the TIP-ID identity</w:t>
      </w:r>
      <w:r>
        <w:t xml:space="preserve"> </w:t>
      </w:r>
      <w:r>
        <w:t xml:space="preserve">layer, the TIP-CONTENT provenance layer, and the TIP-TRUST</w:t>
      </w:r>
      <w:r>
        <w:t xml:space="preserve"> </w:t>
      </w:r>
      <w:r>
        <w:t xml:space="preserve">reputation layer, as documented in this whitepaper and in the</w:t>
      </w:r>
      <w:r>
        <w:t xml:space="preserve"> </w:t>
      </w:r>
      <w:r>
        <w:t xml:space="preserve">canonical TIP Protocol Specification.</w:t>
      </w:r>
    </w:p>
    <w:p>
      <w:pPr>
        <w:pStyle w:val="Compact"/>
        <w:numPr>
          <w:ilvl w:val="0"/>
          <w:numId w:val="1034"/>
        </w:numPr>
      </w:pPr>
      <w:r>
        <w:t xml:space="preserve">The</w:t>
      </w:r>
      <w:r>
        <w:t xml:space="preserve"> </w:t>
      </w:r>
      <w:r>
        <w:rPr>
          <w:b/>
          <w:bCs/>
        </w:rPr>
        <w:t xml:space="preserve">AI Trust Council</w:t>
      </w:r>
      <w:r>
        <w:t xml:space="preserve"> </w:t>
      </w:r>
      <w:r>
        <w:t xml:space="preserve">(2026): the independent multi-stakeholder</w:t>
      </w:r>
      <w:r>
        <w:t xml:space="preserve"> </w:t>
      </w:r>
      <w:r>
        <w:t xml:space="preserve">governance body established to ratify the governance, evolution,</w:t>
      </w:r>
      <w:r>
        <w:t xml:space="preserve"> </w:t>
      </w:r>
      <w:r>
        <w:t xml:space="preserve">and enforcement of the Trust Identity Protocol, modeled on the</w:t>
      </w:r>
      <w:r>
        <w:t xml:space="preserve"> </w:t>
      </w:r>
      <w:r>
        <w:t xml:space="preserve">consensus traditions of ICANN, the IETF, and the W3C.</w:t>
      </w:r>
    </w:p>
    <w:p>
      <w:pPr>
        <w:pStyle w:val="Compact"/>
        <w:numPr>
          <w:ilvl w:val="0"/>
          <w:numId w:val="1034"/>
        </w:numPr>
      </w:pPr>
      <w:r>
        <w:t xml:space="preserve">The</w:t>
      </w:r>
      <w:r>
        <w:t xml:space="preserve"> </w:t>
      </w:r>
      <w:r>
        <w:rPr>
          <w:b/>
          <w:bCs/>
        </w:rPr>
        <w:t xml:space="preserve">AI Trust Registry</w:t>
      </w:r>
      <w:r>
        <w:t xml:space="preserve"> </w:t>
      </w:r>
      <w:r>
        <w:t xml:space="preserve">(2026): the public, append-only,</w:t>
      </w:r>
      <w:r>
        <w:t xml:space="preserve"> </w:t>
      </w:r>
      <w:r>
        <w:t xml:space="preserve">cryptographically anchored registry of TIP identities and content</w:t>
      </w:r>
      <w:r>
        <w:t xml:space="preserve"> </w:t>
      </w:r>
      <w:r>
        <w:t xml:space="preserve">provenance declarations, maintained by the federation of Founding</w:t>
      </w:r>
      <w:r>
        <w:t xml:space="preserve"> </w:t>
      </w:r>
      <w:r>
        <w:t xml:space="preserve">Node Operators and Verification Providers.</w:t>
      </w:r>
    </w:p>
    <w:p>
      <w:pPr>
        <w:pStyle w:val="Compact"/>
        <w:numPr>
          <w:ilvl w:val="0"/>
          <w:numId w:val="1034"/>
        </w:numPr>
      </w:pPr>
      <w:r>
        <w:t xml:space="preserve">The</w:t>
      </w:r>
      <w:r>
        <w:t xml:space="preserve"> </w:t>
      </w:r>
      <w:r>
        <w:rPr>
          <w:b/>
          <w:bCs/>
        </w:rPr>
        <w:t xml:space="preserve">AI Trust ID</w:t>
      </w:r>
      <w:r>
        <w:t xml:space="preserve"> </w:t>
      </w:r>
      <w:r>
        <w:t xml:space="preserve">(2026): the umbrella identity framework under</w:t>
      </w:r>
      <w:r>
        <w:t xml:space="preserve"> </w:t>
      </w:r>
      <w:r>
        <w:t xml:space="preserve">which TIP issues and verifies the identity of a verified natural</w:t>
      </w:r>
      <w:r>
        <w:t xml:space="preserve"> </w:t>
      </w:r>
      <w:r>
        <w:t xml:space="preserve">person. The AI Trust ID framework comprises two named components:</w:t>
      </w:r>
      <w:r>
        <w:t xml:space="preserve"> </w:t>
      </w:r>
      <w:r>
        <w:t xml:space="preserve">the</w:t>
      </w:r>
      <w:r>
        <w:t xml:space="preserve"> </w:t>
      </w:r>
      <w:r>
        <w:rPr>
          <w:b/>
          <w:bCs/>
        </w:rPr>
        <w:t xml:space="preserve">Cryptographic Trust Identity (CTID)</w:t>
      </w:r>
      <w:r>
        <w:t xml:space="preserve">, which is the globally</w:t>
      </w:r>
      <w:r>
        <w:t xml:space="preserve"> </w:t>
      </w:r>
      <w:r>
        <w:t xml:space="preserve">unique, post-quantum-signed cryptographic identifier bound to the</w:t>
      </w:r>
      <w:r>
        <w:t xml:space="preserve"> </w:t>
      </w:r>
      <w:r>
        <w:t xml:space="preserve">holder; and the</w:t>
      </w:r>
      <w:r>
        <w:t xml:space="preserve"> </w:t>
      </w:r>
      <w:r>
        <w:rPr>
          <w:b/>
          <w:bCs/>
        </w:rPr>
        <w:t xml:space="preserve">TIP-ID</w:t>
      </w:r>
      <w:r>
        <w:t xml:space="preserve">, which is the protocol-layer identifier</w:t>
      </w:r>
      <w:r>
        <w:t xml:space="preserve"> </w:t>
      </w:r>
      <w:r>
        <w:t xml:space="preserve">used to address the holder in TIP transactions and in the AI Trust</w:t>
      </w:r>
      <w:r>
        <w:t xml:space="preserve"> </w:t>
      </w:r>
      <w:r>
        <w:t xml:space="preserve">Registry. Both CTID and TIP-ID are sub-components of the AI Trust</w:t>
      </w:r>
      <w:r>
        <w:t xml:space="preserve"> </w:t>
      </w:r>
      <w:r>
        <w:t xml:space="preserve">ID, not synonyms for it.</w:t>
      </w:r>
    </w:p>
    <w:p>
      <w:pPr>
        <w:pStyle w:val="Compact"/>
        <w:numPr>
          <w:ilvl w:val="0"/>
          <w:numId w:val="1034"/>
        </w:numPr>
      </w:pPr>
      <w:r>
        <w:t xml:space="preserve">The</w:t>
      </w:r>
      <w:r>
        <w:t xml:space="preserve"> </w:t>
      </w:r>
      <w:r>
        <w:rPr>
          <w:b/>
          <w:bCs/>
        </w:rPr>
        <w:t xml:space="preserve">Human Trust ID</w:t>
      </w:r>
      <w:r>
        <w:t xml:space="preserve"> </w:t>
      </w:r>
      <w:r>
        <w:t xml:space="preserve">(2026): the externally rendered,</w:t>
      </w:r>
      <w:r>
        <w:t xml:space="preserve"> </w:t>
      </w:r>
      <w:r>
        <w:t xml:space="preserve">human-readable verification credential that asserts the bearer’s</w:t>
      </w:r>
      <w:r>
        <w:t xml:space="preserve"> </w:t>
      </w:r>
      <w:r>
        <w:t xml:space="preserve">identity has been verified by an accredited Verification Provider</w:t>
      </w:r>
      <w:r>
        <w:t xml:space="preserve"> </w:t>
      </w:r>
      <w:r>
        <w:t xml:space="preserve">under the AI Trust Council’s accreditation framework.</w:t>
      </w:r>
    </w:p>
    <w:p>
      <w:pPr>
        <w:pStyle w:val="Compact"/>
        <w:numPr>
          <w:ilvl w:val="0"/>
          <w:numId w:val="1034"/>
        </w:numPr>
      </w:pPr>
      <w:r>
        <w:t xml:space="preserve">The</w:t>
      </w:r>
      <w:r>
        <w:t xml:space="preserve"> </w:t>
      </w:r>
      <w:r>
        <w:rPr>
          <w:b/>
          <w:bCs/>
        </w:rPr>
        <w:t xml:space="preserve">Canonical Normalization Algorithm</w:t>
      </w:r>
      <w:r>
        <w:t xml:space="preserve"> </w:t>
      </w:r>
      <w:r>
        <w:t xml:space="preserve">at every published</w:t>
      </w:r>
      <w:r>
        <w:t xml:space="preserve"> </w:t>
      </w:r>
      <w:r>
        <w:t xml:space="preserve">version (CNA-1, CNA-1.0, CNA-2, CNA-2.1, CNA-2.2): the</w:t>
      </w:r>
      <w:r>
        <w:t xml:space="preserve"> </w:t>
      </w:r>
      <w:r>
        <w:t xml:space="preserve">deterministic content-canonicalization procedure underlying the</w:t>
      </w:r>
      <w:r>
        <w:t xml:space="preserve"> </w:t>
      </w:r>
      <w:r>
        <w:t xml:space="preserve">three-hash content addressing scheme of TIP-CONTENT.</w:t>
      </w:r>
    </w:p>
    <w:p>
      <w:pPr>
        <w:pStyle w:val="Compact"/>
        <w:numPr>
          <w:ilvl w:val="0"/>
          <w:numId w:val="1034"/>
        </w:numPr>
      </w:pPr>
      <w:r>
        <w:t xml:space="preserve">The</w:t>
      </w:r>
      <w:r>
        <w:t xml:space="preserve"> </w:t>
      </w:r>
      <w:r>
        <w:rPr>
          <w:b/>
          <w:bCs/>
        </w:rPr>
        <w:t xml:space="preserve">Origin Code system</w:t>
      </w:r>
      <w:r>
        <w:t xml:space="preserve"> </w:t>
      </w:r>
      <w:r>
        <w:t xml:space="preserve">(OH, AA, AG, MX): the four-value</w:t>
      </w:r>
      <w:r>
        <w:t xml:space="preserve"> </w:t>
      </w:r>
      <w:r>
        <w:t xml:space="preserve">taxonomy by which the origin of a content unit is declared at</w:t>
      </w:r>
      <w:r>
        <w:t xml:space="preserve"> </w:t>
      </w:r>
      <w:r>
        <w:t xml:space="preserve">publish time.</w:t>
      </w:r>
    </w:p>
    <w:p>
      <w:pPr>
        <w:pStyle w:val="FirstParagraph"/>
      </w:pPr>
      <w:r>
        <w:t xml:space="preserve">He is the sole inventor named on the five United States provisional</w:t>
      </w:r>
      <w:r>
        <w:t xml:space="preserve"> </w:t>
      </w:r>
      <w:r>
        <w:t xml:space="preserve">patent applications underlying the Trust Identity Protocol, organized</w:t>
      </w:r>
      <w:r>
        <w:t xml:space="preserve"> </w:t>
      </w:r>
      <w:r>
        <w:t xml:space="preserve">in Claim Groups A through BB and recorded in Section 10.4 and</w:t>
      </w:r>
      <w:r>
        <w:t xml:space="preserve"> </w:t>
      </w:r>
      <w:r>
        <w:t xml:space="preserve">Appendix J.5.</w:t>
      </w:r>
    </w:p>
    <w:bookmarkEnd w:id="359"/>
    <w:bookmarkStart w:id="360" w:name="l.3-founders-commitment"/>
    <w:p>
      <w:pPr>
        <w:pStyle w:val="Heading2"/>
      </w:pPr>
      <w:r>
        <w:t xml:space="preserve">L.3 Founder’s commitment</w:t>
      </w:r>
    </w:p>
    <w:p>
      <w:pPr>
        <w:pStyle w:val="FirstParagraph"/>
      </w:pPr>
      <w:r>
        <w:t xml:space="preserve">The works named in L.2 were conceived as public infrastructure for</w:t>
      </w:r>
      <w:r>
        <w:t xml:space="preserve"> </w:t>
      </w:r>
      <w:r>
        <w:t xml:space="preserve">the post-AI internet. The reference implementation converts</w:t>
      </w:r>
      <w:r>
        <w:t xml:space="preserve"> </w:t>
      </w:r>
      <w:r>
        <w:t xml:space="preserve">irrevocably to the Apache License 2.0 on January 1, 2031, and the</w:t>
      </w:r>
      <w:r>
        <w:t xml:space="preserve"> </w:t>
      </w:r>
      <w:r>
        <w:t xml:space="preserve">canonical specification is published in perpetuity under the Creative</w:t>
      </w:r>
      <w:r>
        <w:t xml:space="preserve"> </w:t>
      </w:r>
      <w:r>
        <w:t xml:space="preserve">Commons Attribution 4.0 International Public License. These</w:t>
      </w:r>
      <w:r>
        <w:t xml:space="preserve"> </w:t>
      </w:r>
      <w:r>
        <w:t xml:space="preserve">commitments are operative and cannot be revoked. The mission framing</w:t>
      </w:r>
      <w:r>
        <w:t xml:space="preserve"> </w:t>
      </w:r>
      <w:r>
        <w:t xml:space="preserve">under which the works were created is</w:t>
      </w:r>
      <w:r>
        <w:t xml:space="preserve"> </w:t>
      </w:r>
      <w:r>
        <w:t xml:space="preserve">“intelligence, unobscured”</w:t>
      </w:r>
      <w:r>
        <w:t xml:space="preserve">: the</w:t>
      </w:r>
      <w:r>
        <w:t xml:space="preserve"> </w:t>
      </w:r>
      <w:r>
        <w:t xml:space="preserve">proposition that the integrity of human knowledge in the AI era</w:t>
      </w:r>
      <w:r>
        <w:t xml:space="preserve"> </w:t>
      </w:r>
      <w:r>
        <w:t xml:space="preserve">depends on the cryptographic verifiability of who made online content</w:t>
      </w:r>
      <w:r>
        <w:t xml:space="preserve"> </w:t>
      </w:r>
      <w:r>
        <w:t xml:space="preserve">and how, and on the institutional independence of the body that</w:t>
      </w:r>
      <w:r>
        <w:t xml:space="preserve"> </w:t>
      </w:r>
      <w:r>
        <w:t xml:space="preserve">governs the verification standard.</w:t>
      </w:r>
    </w:p>
    <w:bookmarkEnd w:id="360"/>
    <w:bookmarkStart w:id="361" w:name="l.4-statement-for-the-historical-record"/>
    <w:p>
      <w:pPr>
        <w:pStyle w:val="Heading2"/>
      </w:pPr>
      <w:r>
        <w:t xml:space="preserve">L.4 Statement for the historical record</w:t>
      </w:r>
    </w:p>
    <w:p>
      <w:pPr>
        <w:pStyle w:val="FirstParagraph"/>
      </w:pPr>
      <w:r>
        <w:t xml:space="preserve">The Trust Identity Protocol, the AI Trust Council, the AI Trust</w:t>
      </w:r>
      <w:r>
        <w:t xml:space="preserve"> </w:t>
      </w:r>
      <w:r>
        <w:t xml:space="preserve">Registry, the AI Trust ID, and the Human Trust ID were created during</w:t>
      </w:r>
      <w:r>
        <w:t xml:space="preserve"> </w:t>
      </w:r>
      <w:r>
        <w:t xml:space="preserve">the period 2024 to 2026. They were published, in their canonical form,</w:t>
      </w:r>
      <w:r>
        <w:t xml:space="preserve"> </w:t>
      </w:r>
      <w:r>
        <w:t xml:space="preserve">under the architectural and authorial responsibility of Dinesh</w:t>
      </w:r>
      <w:r>
        <w:t xml:space="preserve"> </w:t>
      </w:r>
      <w:r>
        <w:t xml:space="preserve">Mendhe. The institutional and operational framework through which the</w:t>
      </w:r>
      <w:r>
        <w:t xml:space="preserve"> </w:t>
      </w:r>
      <w:r>
        <w:t xml:space="preserve">protocol enters production at Genesis Date, as defined in Part XI,</w:t>
      </w:r>
      <w:r>
        <w:t xml:space="preserve"> </w:t>
      </w:r>
      <w:r>
        <w:t xml:space="preserve">was likewise designed by him. The historical record of the protocol’s</w:t>
      </w:r>
      <w:r>
        <w:t xml:space="preserve"> </w:t>
      </w:r>
      <w:r>
        <w:t xml:space="preserve">creation, of the Council’s establishment, of the Founding Node</w:t>
      </w:r>
      <w:r>
        <w:t xml:space="preserve"> </w:t>
      </w:r>
      <w:r>
        <w:t xml:space="preserve">Operator network, of the licensing framework, of the patent</w:t>
      </w:r>
      <w:r>
        <w:t xml:space="preserve"> </w:t>
      </w:r>
      <w:r>
        <w:t xml:space="preserve">portfolio, and of the regulatory posture, is set out in this</w:t>
      </w:r>
      <w:r>
        <w:t xml:space="preserve"> </w:t>
      </w:r>
      <w:r>
        <w:t xml:space="preserve">whitepaper, in the canonical TIP Protocol Specification, in</w:t>
      </w:r>
      <w:r>
        <w:t xml:space="preserve"> </w:t>
      </w:r>
      <w:r>
        <w:t xml:space="preserve">TIPCL-1.0, in the AI Trust Council Charter, and in the corporate</w:t>
      </w:r>
      <w:r>
        <w:t xml:space="preserve"> </w:t>
      </w:r>
      <w:r>
        <w:t xml:space="preserve">records of The AI Lab Intelligence Unobscured, Inc., which records</w:t>
      </w:r>
      <w:r>
        <w:t xml:space="preserve"> </w:t>
      </w:r>
      <w:r>
        <w:t xml:space="preserve">are preserved in the Minute Book of the corporation and in the</w:t>
      </w:r>
      <w:r>
        <w:t xml:space="preserve"> </w:t>
      </w:r>
      <w:r>
        <w:t xml:space="preserve">United States Copyright Office under the application numbers cited</w:t>
      </w:r>
      <w:r>
        <w:t xml:space="preserve"> </w:t>
      </w:r>
      <w:r>
        <w:t xml:space="preserve">in the colophon and Appendix J.</w:t>
      </w:r>
    </w:p>
    <w:p>
      <w:pPr>
        <w:pStyle w:val="BodyText"/>
      </w:pPr>
      <w:r>
        <w:t xml:space="preserve">The Trust Identity Protocol is intended to outlast its architect and</w:t>
      </w:r>
      <w:r>
        <w:t xml:space="preserve"> </w:t>
      </w:r>
      <w:r>
        <w:t xml:space="preserve">to remain the public infrastructure through which the question</w:t>
      </w:r>
      <w:r>
        <w:t xml:space="preserve"> </w:t>
      </w:r>
      <w:r>
        <w:rPr>
          <w:b/>
          <w:bCs/>
        </w:rPr>
        <w:t xml:space="preserve">who made this content</w:t>
      </w:r>
      <w:r>
        <w:t xml:space="preserve"> </w:t>
      </w:r>
      <w:r>
        <w:t xml:space="preserve">can be answered, cryptographically and</w:t>
      </w:r>
      <w:r>
        <w:t xml:space="preserve"> </w:t>
      </w:r>
      <w:r>
        <w:t xml:space="preserve">verifiably, for as long as the internet exists.</w:t>
      </w:r>
    </w:p>
    <w:bookmarkEnd w:id="361"/>
    <w:bookmarkEnd w:id="362"/>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1"/>
  </w:num>
  <w:num w:numId="101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7">
    <w:abstractNumId w:val="991"/>
  </w:num>
  <w:num w:numId="1028">
    <w:abstractNumId w:val="991"/>
  </w:num>
  <w:num w:numId="102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 Protocol Whitepaper, Version 1.0</dc:title>
  <dc:creator>The AI Lab Intelligence Unobscured, Inc.; theailab.org</dc:creator>
  <dc:description>TIP Protocol Whitepaper Version 1.0. The Trust Identity Protocol is a post-quantum, federated, open standard for verifying human identity, content origin, and operator reputation on the internet. Published under CC BY 4.0 by The AI Lab Intelligence Unobscured, Inc.</dc:description>
  <dc:subject>Open standard for verified human identity and content provenance on the internet, published by The AI Lab Intelligence Unobscured, Inc.</dc:subject>
  <cp:keywords>Trust Identity Protocol, TIP Protocol, AI Trust Council, content provenance, AI content verification, post-quantum cryptography, ML-DSA-65, ML-KEM-768, SLH-DSA, EU AI Act, Article 50, Article 95, GDPR, DSA, eIDAS, content authenticity, deepfake detection, digital identity, federated DAG, WebAuthn, CNA-2.2</cp:keywords>
  <dcterms:created xsi:type="dcterms:W3CDTF">2026-06-16T16:13:50Z</dcterms:created>
  <dcterms:modified xsi:type="dcterms:W3CDTF">2026-06-16T16:13:50Z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lorlinks">
    <vt:lpwstr>True</vt:lpwstr>
  </property>
  <property fmtid="{D5CDD505-2E9C-101B-9397-08002B2CF9AE}" pid="3" name="date">
    <vt:lpwstr>June 16, 2026</vt:lpwstr>
  </property>
  <property fmtid="{D5CDD505-2E9C-101B-9397-08002B2CF9AE}" pid="4" name="documentclass">
    <vt:lpwstr>article</vt:lpwstr>
  </property>
  <property fmtid="{D5CDD505-2E9C-101B-9397-08002B2CF9AE}" pid="5" name="fontsize">
    <vt:lpwstr>11pt</vt:lpwstr>
  </property>
  <property fmtid="{D5CDD505-2E9C-101B-9397-08002B2CF9AE}" pid="6" name="geometry">
    <vt:lpwstr/>
  </property>
  <property fmtid="{D5CDD505-2E9C-101B-9397-08002B2CF9AE}" pid="7" name="language">
    <vt:lpwstr>en</vt:lpwstr>
  </property>
  <property fmtid="{D5CDD505-2E9C-101B-9397-08002B2CF9AE}" pid="8" name="linkcolor">
    <vt:lpwstr>tipgolddark</vt:lpwstr>
  </property>
  <property fmtid="{D5CDD505-2E9C-101B-9397-08002B2CF9AE}" pid="9" name="papersize">
    <vt:lpwstr>a4</vt:lpwstr>
  </property>
  <property fmtid="{D5CDD505-2E9C-101B-9397-08002B2CF9AE}" pid="10" name="publisher">
    <vt:lpwstr>The AI Lab Intelligence Unobscured, Inc.</vt:lpwstr>
  </property>
  <property fmtid="{D5CDD505-2E9C-101B-9397-08002B2CF9AE}" pid="11" name="rights">
    <vt:lpwstr>© 2026 The AI Lab Intelligence Unobscured, Inc. Licensed under CC BY 4.0.</vt:lpwstr>
  </property>
  <property fmtid="{D5CDD505-2E9C-101B-9397-08002B2CF9AE}" pid="12" name="subtitle">
    <vt:lpwstr>Trust Identity Protocol for the Verifiable Internet</vt:lpwstr>
  </property>
  <property fmtid="{D5CDD505-2E9C-101B-9397-08002B2CF9AE}" pid="13" name="titlegraphic">
    <vt:lpwstr>the-ai-lab-logo.png</vt:lpwstr>
  </property>
  <property fmtid="{D5CDD505-2E9C-101B-9397-08002B2CF9AE}" pid="14" name="toc-title">
    <vt:lpwstr>Table of Contents</vt:lpwstr>
  </property>
  <property fmtid="{D5CDD505-2E9C-101B-9397-08002B2CF9AE}" pid="15" name="toccolor">
    <vt:lpwstr>tipnavy</vt:lpwstr>
  </property>
  <property fmtid="{D5CDD505-2E9C-101B-9397-08002B2CF9AE}" pid="16" name="urlcolor">
    <vt:lpwstr>tipgolddark</vt:lpwstr>
  </property>
</Properties>
</file>